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111827"/>
          <w:sz w:val="46"/>
        </w:rPr>
        <w:t>玩家账号与服务器资料设计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4B5563"/>
          <w:sz w:val="26"/>
        </w:rPr>
        <w:t>安装 ID 自动登录、服务端权威进度与基地账号中心</w:t>
      </w:r>
    </w:p>
    <w:p>
      <w:pPr>
        <w:pStyle w:val="Heading1"/>
      </w:pPr>
      <w:r>
        <w:t>1. 目标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每名玩家拥有服务器生成且不可修改的 UserID；卡牌数量、卡牌星级、出战编组、抽卡券、段位星数与 ELO 均以服务器资料为权威。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首次联网自动创建账号并默认登录，后续启动继续使用同一账号，不依赖 MAC、硬盘序列号或其他物理地址。</w:t>
      </w:r>
    </w:p>
    <w:p>
      <w:pPr>
        <w:pStyle w:val="Heading1"/>
      </w:pPr>
      <w:r>
        <w:t>2. 默认设备账号流程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客户端首次启动生成 32 字节随机安装 ID，并保存到 user://client/device_account.json。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首次连接时服务器创建游客账号和 UserID，仅在首次响应中签发 32 字节随机长期登录令牌。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后续连接使用安装 ID 与长期令牌自动登录；服务器再签发仅用于当前连接的短期会话令牌。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注销只结束当前会话，不删除本机长期令牌；下次启动或重新连接仍默认进入原账号。</w:t>
      </w:r>
    </w:p>
    <w:p>
      <w:pPr>
        <w:pStyle w:val="Heading1"/>
      </w:pPr>
      <w:r>
        <w:t>3. 安全边界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服务器只保存安装 ID 的 SHA-256 摘要、随机盐和长期令牌哈希，不保存安装 ID 或令牌明文。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客户端只在 user:// 保存本机凭据，不把安装 ID 当作密码；长期令牌错误时服务器统一拒绝认证。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网络 peer 只能读写其当前会话对应的玩家资料；断线与注销都会解除 peer 到用户的映射。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删除应用数据或丢失本机凭据会失去自动登录能力；正式发行前需补充账号绑定、令牌轮换和跨设备找回。</w:t>
      </w:r>
    </w:p>
    <w:p>
      <w:pPr>
        <w:pStyle w:val="Heading1"/>
      </w:pPr>
      <w:r>
        <w:t>4. 兼容功能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原账号与密码注册/登录入口继续保留，作为兼容入口和未来账号绑定基础；密码只保存加盐派生哈希。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主页面点击基地打开账号中心，可查看 UserID、注销当前会话、阅读玩家协议并切换音乐与音效。</w:t>
      </w:r>
    </w:p>
    <w:p>
      <w:pPr>
        <w:pStyle w:val="Heading1"/>
      </w:pPr>
      <w:r>
        <w:t>5. 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全新安装首次连接后自动得到 UserID、长期令牌和默认服务器资料。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服务器重启后，同一安装 ID 与长期令牌登录到相同 UserID，且长期令牌不会再次返回。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不同安装获得不同 UserID；伪造安装 ID、错误令牌及未认证资料写入均被拒绝。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账号存储测试、ENet 双客户端自动登录回归和 Godot 全项目解析通过。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B7280"/>
        <w:sz w:val="18"/>
      </w:rPr>
      <w:t>v1.1 · 2026-07-14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/>
        <w:b w:val="0"/>
        <w:color w:val="6B7280"/>
        <w:sz w:val="18"/>
      </w:rPr>
      <w:t>战城大师 · 功能规格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玩家账号与服务器资料设计</dc:title>
  <dc:subject>安装 ID 自动登录与服务端权威资料规格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