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520" w:after="120"/>
      </w:pPr>
      <w:r>
        <w:rPr>
          <w:rFonts w:ascii="Microsoft YaHei" w:hAnsi="Microsoft YaHei" w:eastAsia="Microsoft YaHei"/>
          <w:b/>
          <w:color w:val="172033"/>
          <w:sz w:val="46"/>
        </w:rPr>
        <w:t>自动账号、250 地块与升级生命规则</w:t>
      </w:r>
    </w:p>
    <w:p>
      <w:pPr>
        <w:spacing w:after="320"/>
      </w:pPr>
      <w:r>
        <w:rPr>
          <w:rFonts w:ascii="Microsoft YaHei" w:hAnsi="Microsoft YaHei" w:eastAsia="Microsoft YaHei"/>
          <w:b w:val="0"/>
          <w:color w:val="2E74B5"/>
          <w:sz w:val="24"/>
        </w:rPr>
        <w:t>账号 ID / 派生密码一键复制｜开局可见 250 金币保底｜固定生命成长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4860"/>
        <w:gridCol w:w="4860"/>
      </w:tblGrid>
      <w:tr>
        <w:trPr>
          <w:tblHeader w:val="true"/>
        </w:trPr>
        <w:tc>
          <w:tcPr>
            <w:tcW w:type="dxa" w:w="2088"/>
            <w:shd w:fill="2E74B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344"/>
            <w:shd w:fill="2E74B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文档类型</w:t>
            </w:r>
          </w:p>
        </w:tc>
        <w:tc>
          <w:tcPr>
            <w:tcW w:type="dxa" w:w="73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Game Feature Design General｜Implementation Contract</w:t>
            </w:r>
          </w:p>
        </w:tc>
      </w:tr>
      <w:tr>
        <w:tc>
          <w:tcPr>
            <w:tcW w:type="dxa" w:w="2088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请求编号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REQ-20260814-AUTO-ACCOUNT-250-HEALTH-RULE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功能编号</w:t>
            </w:r>
          </w:p>
        </w:tc>
        <w:tc>
          <w:tcPr>
            <w:tcW w:type="dxa" w:w="73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GLOBAL｜F-ZC-AUTH-001｜F-ZC-001</w:t>
            </w:r>
          </w:p>
        </w:tc>
      </w:tr>
      <w:tr>
        <w:tc>
          <w:tcPr>
            <w:tcW w:type="dxa" w:w="2088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版本 / 日期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v1.0 / 2026-08-14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批准人与负责人</w:t>
            </w:r>
          </w:p>
        </w:tc>
        <w:tc>
          <w:tcPr>
            <w:tcW w:type="dxa" w:w="73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制作人：用户｜工程负责人：codex-primary</w:t>
            </w:r>
          </w:p>
        </w:tc>
      </w:tr>
      <w:tr>
        <w:tc>
          <w:tcPr>
            <w:tcW w:type="dxa" w:w="2088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目标平台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Windows 与 Android 共用 Godot 运行时逻辑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规则状态</w:t>
            </w:r>
          </w:p>
        </w:tc>
        <w:tc>
          <w:tcPr>
            <w:tcW w:type="dxa" w:w="73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制作人明确批准，允许进入实现与验证</w:t>
            </w:r>
          </w:p>
        </w:tc>
      </w:tr>
      <w:tr>
        <w:tc>
          <w:tcPr>
            <w:tcW w:type="dxa" w:w="2088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发布边界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本地实现；公网加密认证、正式 KDF、阿里云部署和 Android 真机验收另设门禁</w:t>
            </w:r>
          </w:p>
        </w:tc>
      </w:tr>
    </w:tbl>
    <w:p>
      <w:pPr>
        <w:spacing w:after="0"/>
      </w:pP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9721"/>
      </w:tblGrid>
      <w:tr>
        <w:tc>
          <w:tcPr>
            <w:tcW w:type="dxa" w:w="9721"/>
            <w:shd w:fill="FFF4D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制作人决策：自动生成账号必须立即拥有可登录的账号 ID 与密码；复制按钮一次复制两者；按钮文案使用“重新登录”；所有势力开局可见 250 金币地块；近战每级生命 +1，远程每两级生命 +1。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1"/>
      </w:pPr>
      <w:r>
        <w:t>目录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1. 术语、版本与决策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2. 目标、非目标与玩家体验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3. 当前基线与根因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4. 自动账号凭据系统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5. 账号 UI / UE 流程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6. 250 金币地块可见保底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7. 动物升级生命规则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8. 工程映射与数据边界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9. 安全、隐私、日志与异常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10. 美术、音频、埋点与兼容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11. QA 验收矩阵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12. 发布门禁与回滚</w:t>
      </w:r>
    </w:p>
    <w:p>
      <w:r>
        <w:br w:type="page"/>
      </w:r>
    </w:p>
    <w:p>
      <w:pPr>
        <w:pStyle w:val="1"/>
      </w:pPr>
      <w:r>
        <w:t>1. 术语、版本与决策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4860"/>
        <w:gridCol w:w="4860"/>
      </w:tblGrid>
      <w:tr>
        <w:trPr>
          <w:tblHeader w:val="true"/>
        </w:trPr>
        <w:tc>
          <w:tcPr>
            <w:tcW w:type="dxa" w:w="2088"/>
            <w:shd w:fill="2E74B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344"/>
            <w:shd w:fill="2E74B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自动账号</w:t>
            </w:r>
          </w:p>
        </w:tc>
        <w:tc>
          <w:tcPr>
            <w:tcW w:type="dxa" w:w="73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首次安装认证或玩家点击“新建账号”时，由服务器创建且无需玩家先填写名称的账号。</w:t>
            </w:r>
          </w:p>
        </w:tc>
      </w:tr>
      <w:tr>
        <w:tc>
          <w:tcPr>
            <w:tcW w:type="dxa" w:w="2088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账号 ID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服务器生成、不可修改的 UserID；自动账号的登录账号名与 UserID 完全一致。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设备恢复密钥</w:t>
            </w:r>
          </w:p>
        </w:tc>
        <w:tc>
          <w:tcPr>
            <w:tcW w:type="dxa" w:w="73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客户端首次安装生成的 32 字节随机根凭据，只用于设备恢复和自动账号密码派生，禁止展示或复制。</w:t>
            </w:r>
          </w:p>
        </w:tc>
      </w:tr>
      <w:tr>
        <w:tc>
          <w:tcPr>
            <w:tcW w:type="dxa" w:w="2088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派生密码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固定域 + 规范化 UserID + 设备恢复密钥经过 SHA-256 得到的 64 位小写十六进制字符串。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可见 250 地块</w:t>
            </w:r>
          </w:p>
        </w:tc>
        <w:tc>
          <w:tcPr>
            <w:tcW w:type="dxa" w:w="73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战斗开始时已经与本方基地相邻、满足解锁条件并显示价格 250 的单位营地。</w:t>
            </w:r>
          </w:p>
        </w:tc>
      </w:tr>
      <w:tr>
        <w:tc>
          <w:tcPr>
            <w:tcW w:type="dxa" w:w="2088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近战 / 远程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按基础攻击范围分类：≤40 为近战，&gt;40 为远程；技能类型不改变分类。</w:t>
            </w:r>
          </w:p>
        </w:tc>
      </w:tr>
    </w:tbl>
    <w:p>
      <w:pPr>
        <w:spacing w:after="0"/>
      </w:pP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430"/>
        <w:gridCol w:w="2430"/>
        <w:gridCol w:w="2430"/>
        <w:gridCol w:w="2430"/>
      </w:tblGrid>
      <w:tr>
        <w:trPr>
          <w:tblHeader w:val="true"/>
        </w:trPr>
        <w:tc>
          <w:tcPr>
            <w:tcW w:type="dxa" w:w="1152"/>
            <w:shd w:fill="2E74B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584"/>
            <w:shd w:fill="2E74B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400"/>
            <w:shd w:fill="2E74B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变更</w:t>
            </w:r>
          </w:p>
        </w:tc>
        <w:tc>
          <w:tcPr>
            <w:tcW w:type="dxa" w:w="1296"/>
            <w:shd w:fill="2E74B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v1.0</w:t>
            </w:r>
          </w:p>
        </w:tc>
        <w:tc>
          <w:tcPr>
            <w:tcW w:type="dxa" w:w="15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2026-08-14</w:t>
            </w:r>
          </w:p>
        </w:tc>
        <w:tc>
          <w:tcPr>
            <w:tcW w:type="dxa" w:w="54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建立自动凭据、250 可见保底和固定生命成长合同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制作人已批准</w:t>
            </w:r>
          </w:p>
        </w:tc>
      </w:tr>
    </w:tbl>
    <w:p>
      <w:pPr>
        <w:spacing w:after="0"/>
      </w:pPr>
    </w:p>
    <w:p>
      <w:pPr>
        <w:pStyle w:val="1"/>
      </w:pPr>
      <w:r>
        <w:t>2. 目标、非目标与玩家体验</w:t>
      </w:r>
    </w:p>
    <w:p>
      <w:pPr>
        <w:pStyle w:val="21"/>
      </w:pPr>
      <w:r>
        <w:t>2.1 主要目标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首次联网后，玩家不再看到“游客账号（未绑定）/未设置”，而是立即得到账号 ID 和已设置的自动密码。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玩家点击“复制账号密码”后，剪贴板一次得到带标签的账号 ID 与密码，可在另一受支持平台登录同一 UserID。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所有对战地图、所有参战势力开局至少看到一格可解锁的 250 金币单位地块，同时保留初始金矿和 50 金币营地。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动物升级最大生命变成可预测的整数成长，不再叠加动物生命百分比倍率。</w:t>
      </w:r>
    </w:p>
    <w:p>
      <w:pPr>
        <w:pStyle w:val="21"/>
      </w:pPr>
      <w:r>
        <w:t>2.2 非目标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不让服务器保存或返回明文密码、设备恢复密钥、盐或密码哈希。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不修改防御塔按购买次数计价的既有规则，不改变 50/100/250 卡池内容与概率配置。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不改变页面布局、点击矩形、战斗镜头、地图尺寸、金矿定额、群体增益或其他动物技能。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本版本不宣称普通 ENet UDP 已具备正式公网口令传输安全，也不执行阿里云部署或手机出包。</w:t>
      </w:r>
    </w:p>
    <w:p>
      <w:pPr>
        <w:pStyle w:val="1"/>
      </w:pPr>
      <w:r>
        <w:t>3. 当前基线与根因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430"/>
        <w:gridCol w:w="2430"/>
        <w:gridCol w:w="2430"/>
        <w:gridCol w:w="2430"/>
      </w:tblGrid>
      <w:tr>
        <w:trPr>
          <w:tblHeader w:val="true"/>
        </w:trPr>
        <w:tc>
          <w:tcPr>
            <w:tcW w:type="dxa" w:w="1512"/>
            <w:shd w:fill="2E74B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232"/>
            <w:shd w:fill="2E74B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当前基线</w:t>
            </w:r>
          </w:p>
        </w:tc>
        <w:tc>
          <w:tcPr>
            <w:tcW w:type="dxa" w:w="2664"/>
            <w:shd w:fill="2E74B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根因</w:t>
            </w:r>
          </w:p>
        </w:tc>
        <w:tc>
          <w:tcPr>
            <w:tcW w:type="dxa" w:w="2880"/>
            <w:shd w:fill="2E74B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本版处理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自动账号无密码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设备账号记录的 account/salt/password_hash 为空</w:t>
            </w:r>
          </w:p>
        </w:tc>
        <w:tc>
          <w:tcPr>
            <w:tcW w:type="dxa" w:w="26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安装认证只创建游客档案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为新档案设置 UserID 登录名与派生密码摘要；旧档案懒迁移</w:t>
            </w:r>
          </w:p>
        </w:tc>
      </w:tr>
      <w:tr>
        <w:tc>
          <w:tcPr>
            <w:tcW w:type="dxa" w:w="1512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复制按钮不可用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只认本次手动输入的会话密码</w:t>
            </w:r>
          </w:p>
        </w:tc>
        <w:tc>
          <w:tcPr>
            <w:tcW w:type="dxa" w:w="2664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自动登录无法恢复历史口令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原设备按 UserID 与根密钥重新派生，不读取服务器明文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文案不一致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小按钮显示“重新验证”</w:t>
            </w:r>
          </w:p>
        </w:tc>
        <w:tc>
          <w:tcPr>
            <w:tcW w:type="dxa" w:w="26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旧安全交互命名遗留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统一为“重新登录”</w:t>
            </w:r>
          </w:p>
        </w:tc>
      </w:tr>
      <w:tr>
        <w:tc>
          <w:tcPr>
            <w:tcW w:type="dxa" w:w="1512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250 地块缺失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单位格总体命中率低且无保底</w:t>
            </w:r>
          </w:p>
        </w:tc>
        <w:tc>
          <w:tcPr>
            <w:tcW w:type="dxa" w:w="2664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20% 价格概率只作用于有限单位格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地图生成后对称/旋转地为每势力补一格开局可见 250 营地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升级生命过高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动物生命先乘等级倍率再叠固定奖励</w:t>
            </w:r>
          </w:p>
        </w:tc>
        <w:tc>
          <w:tcPr>
            <w:tcW w:type="dxa" w:w="26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旧通用倍率仍作用于生命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动物生命仅使用基础生命 + 固定奖励；非动物保留旧倍率</w:t>
            </w:r>
          </w:p>
        </w:tc>
      </w:tr>
    </w:tbl>
    <w:p>
      <w:pPr>
        <w:spacing w:after="0"/>
      </w:pPr>
    </w:p>
    <w:p>
      <w:pPr>
        <w:pStyle w:val="1"/>
      </w:pPr>
      <w:r>
        <w:t>4. 自动账号凭据系统</w:t>
      </w:r>
    </w:p>
    <w:p>
      <w:pPr>
        <w:pStyle w:val="21"/>
      </w:pPr>
      <w:r>
        <w:t>4.1 派生算法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9721"/>
      </w:tblGrid>
      <w:tr>
        <w:tc>
          <w:tcPr>
            <w:tcW w:type="dxa" w:w="9721"/>
            <w:shd w:fill="EAF3FA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password = SHA256("zhanchengdashi:auto-account:v1:" + normalize(UserID) + ":" + recovery_secret)</w:t>
            </w:r>
          </w:p>
        </w:tc>
      </w:tr>
    </w:tbl>
    <w:p>
      <w:pPr>
        <w:spacing w:after="0"/>
      </w:pP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normalize(UserID)：去除首尾空白并转为小写；UserID 必须符合 U-&lt;时间戳&gt;-&lt;随机十六进制&gt; 的服务器格式。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输出为 64 位小写十六进制字符串，满足现有 8–72 位密码长度限制。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相同 UserID 与恢复密钥得到稳定密码；不同 UserID 得到不同密码；输出不得等于恢复密钥。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派生实现放在共享纯规则脚本中，但设备恢复密钥只在客户端参与派生；服务器只校验自动账号格式与派生密码摘要。</w:t>
      </w:r>
    </w:p>
    <w:p>
      <w:pPr>
        <w:pStyle w:val="21"/>
      </w:pPr>
      <w:r>
        <w:t>4.2 新安装与新建账号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客户端以既有 installation_id、refresh_token 与设备恢复流程取得已认证会话；服务端先生成只含 UserID 的游客档案。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客户端收到 UserID 后，在本机用 recovery_secret 派生自动密码，并通过已认证会话只发送派生密码；该新增操作不发送设备恢复密钥。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服务器将游客记录原子升级为 account=UserID、auto_generated=true、随机盐和密码摘要；服务端不参与明文派生。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成功响应只返回 UserID、account、has_password=true、auto_generated=true、auto_password_local=true、会话与资料；不返回派生密码或根密钥。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客户端仅在本机派生校验成功时按需提供遮罩显示、短时查看与复制；“新建账号”因 UserID 不同而得到不同密码。</w:t>
      </w:r>
    </w:p>
    <w:p>
      <w:pPr>
        <w:pStyle w:val="21"/>
      </w:pPr>
      <w:r>
        <w:t>4.3 旧游客档案迁移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仅当账号记录 account/password_hash 为空且调用者持有该 UserID 的有效会话时允许原子升级；新增 RPC 只接收派生密码，不接收 recovery_secret。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迁移保持 UserID、玩家资料、档案 revision、安装绑定与账号列表不变，只补 account、salt、password_hash、auto_generated。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迁移写盘失败必须原子回滚，旧游客仍可继续使用；不得生成第二份玩家资料。</w:t>
      </w:r>
    </w:p>
    <w:p>
      <w:pPr>
        <w:pStyle w:val="21"/>
      </w:pPr>
      <w:r>
        <w:t>4.4 跨平台登录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玩家在另一 Windows/Android 安装输入复制的账号 ID 与派生密码，沿用现有账号密码登录并绑定新 installation。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新设备不会获得原设备 recovery_secret；登录成功只获得自己的刷新令牌，因此服务器不会泄露原设备根凭据。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命名手动账号继续使用玩家输入密码；自动账号派生逻辑只在 auto_generated=true 时启用。</w:t>
      </w:r>
    </w:p>
    <w:p>
      <w:pPr>
        <w:pStyle w:val="1"/>
      </w:pPr>
      <w:r>
        <w:t>5. 账号 UI / UE 流程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1944"/>
        <w:gridCol w:w="1944"/>
        <w:gridCol w:w="1944"/>
        <w:gridCol w:w="1944"/>
      </w:tblGrid>
      <w:tr>
        <w:trPr>
          <w:tblHeader w:val="true"/>
        </w:trPr>
        <w:tc>
          <w:tcPr>
            <w:tcW w:type="dxa" w:w="1944"/>
            <w:shd w:fill="2E74B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232"/>
            <w:shd w:fill="2E74B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账号行</w:t>
            </w:r>
          </w:p>
        </w:tc>
        <w:tc>
          <w:tcPr>
            <w:tcW w:type="dxa" w:w="2304"/>
            <w:shd w:fill="2E74B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密码行</w:t>
            </w:r>
          </w:p>
        </w:tc>
        <w:tc>
          <w:tcPr>
            <w:tcW w:type="dxa" w:w="1440"/>
            <w:shd w:fill="2E74B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小按钮</w:t>
            </w:r>
          </w:p>
        </w:tc>
        <w:tc>
          <w:tcPr>
            <w:tcW w:type="dxa" w:w="2160"/>
            <w:shd w:fill="2E74B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复制按钮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自动账号（原设备）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显示 UserID，并标记自动账号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默认 8 个圆点；10 秒查看派生密码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查看 / 隐藏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直接可用，复制账号 ID + 密码</w:t>
            </w:r>
          </w:p>
        </w:tc>
      </w:tr>
      <w:tr>
        <w:tc>
          <w:tcPr>
            <w:tcW w:type="dxa" w:w="1944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命名账号，本次手动登录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显示账号名</w:t>
            </w:r>
          </w:p>
        </w:tc>
        <w:tc>
          <w:tcPr>
            <w:tcW w:type="dxa" w:w="2304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默认圆点；10 秒查看本次输入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查看 / 隐藏</w:t>
            </w:r>
          </w:p>
        </w:tc>
        <w:tc>
          <w:tcPr>
            <w:tcW w:type="dxa" w:w="2160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直接可用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命名账号，自动登录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显示账号名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圆点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重新登录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点击后进入重新登录，成功后可复制</w:t>
            </w:r>
          </w:p>
        </w:tc>
      </w:tr>
      <w:tr>
        <w:tc>
          <w:tcPr>
            <w:tcW w:type="dxa" w:w="1944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未登录 / 失效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显示输入框</w:t>
            </w:r>
          </w:p>
        </w:tc>
        <w:tc>
          <w:tcPr>
            <w:tcW w:type="dxa" w:w="2304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密码输入框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不显示</w:t>
            </w:r>
          </w:p>
        </w:tc>
        <w:tc>
          <w:tcPr>
            <w:tcW w:type="dxa" w:w="2160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不显示</w:t>
            </w:r>
          </w:p>
        </w:tc>
      </w:tr>
    </w:tbl>
    <w:p>
      <w:pPr>
        <w:spacing w:after="0"/>
      </w:pP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玩家打开“设置与账号”。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自动账号状态直接显示账号 ID 与遮罩密码；点击复制后写入“账号ID：…\n密码：…”。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剪贴板写入成功后提示 60 秒清理；若玩家在此期间改写剪贴板，客户端不覆盖玩家的新内容。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应用失焦、进入后台、断线或切换账号时，清除临时显示状态；自动账号密码下一次打开时可从本机重新派生。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命名账号没有当前会话密码时，小按钮和复制失败路径均进入“重新登录”，不使用“重新验证”文案。</w:t>
      </w:r>
    </w:p>
    <w:p>
      <w:pPr>
        <w:pStyle w:val="1"/>
      </w:pPr>
      <w:r>
        <w:t>6. 250 金币地块可见保底</w:t>
      </w:r>
    </w:p>
    <w:p>
      <w:pPr>
        <w:pStyle w:val="21"/>
      </w:pPr>
      <w:r>
        <w:t>6.1 后置条件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9721"/>
      </w:tblGrid>
      <w:tr>
        <w:tc>
          <w:tcPr>
            <w:tcW w:type="dxa" w:w="9721"/>
            <w:shd w:fill="EAF3FA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每个参战势力在战斗开始时至少有 1 格：site=hall、site_cost=250、无建筑、非 starting_resource、与本方基地相邻且可立即解锁。</w:t>
            </w:r>
          </w:p>
        </w:tc>
      </w:tr>
    </w:tbl>
    <w:p>
      <w:pPr>
        <w:spacing w:after="0"/>
      </w:pPr>
    </w:p>
    <w:p>
      <w:pPr>
        <w:pStyle w:val="21"/>
      </w:pPr>
      <w:r>
        <w:t>6.2 生成顺序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按现有地图定义、cell type 权重和 30/50/20 价格规则生成普通地块。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放置基地、初始金矿、初始 50 营地，并应用每势力额外一座金矿定额。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检查每个势力基地相邻的非资源地块；若已存在可见 250 营地则不改。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若不存在，从非基地、非金矿、非 starting_resource 的相邻格中确定性选一格，改为 250 营地。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1V1/2V2 使用镜像对同时写入；3V3 与自由混战使用六重旋转同时写入，保证价格、站点和可见性公平。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没有合法候选时地图创建失败并走既有安全回退，禁止静默产出不满足合同的地图。</w:t>
      </w:r>
    </w:p>
    <w:p>
      <w:pPr>
        <w:pStyle w:val="21"/>
      </w:pPr>
      <w:r>
        <w:t>6.3 保持不变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每个势力仍保留一格基地相邻初始金矿、一格 50 金币营地和一格非相邻额外金矿。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`cell_price_pools.csv` 与 `runtime/config/cell_price_pools.json` 的 50/100/250 权重及卡池映射不改。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防御塔静态 site_cost 与购买次数动态价格本次不调整。</w:t>
      </w:r>
    </w:p>
    <w:p>
      <w:pPr>
        <w:pStyle w:val="1"/>
      </w:pPr>
      <w:r>
        <w:t>7. 动物升级生命规则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430"/>
        <w:gridCol w:w="2430"/>
        <w:gridCol w:w="2430"/>
        <w:gridCol w:w="2430"/>
      </w:tblGrid>
      <w:tr>
        <w:trPr>
          <w:tblHeader w:val="true"/>
        </w:trPr>
        <w:tc>
          <w:tcPr>
            <w:tcW w:type="dxa" w:w="1584"/>
            <w:shd w:fill="2E74B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448"/>
            <w:shd w:fill="2E74B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2304"/>
            <w:shd w:fill="2E74B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累计生命奖励</w:t>
            </w:r>
          </w:p>
        </w:tc>
        <w:tc>
          <w:tcPr>
            <w:tcW w:type="dxa" w:w="3240"/>
            <w:shd w:fill="2E74B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Lv1–8 奖励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近战动物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base_attack_range ≤ 40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level - 1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+0, +1, +2, +3, +4, +5, +6, +7</w:t>
            </w:r>
          </w:p>
        </w:tc>
      </w:tr>
      <w:tr>
        <w:tc>
          <w:tcPr>
            <w:tcW w:type="dxa" w:w="1584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远程动物</w:t>
            </w:r>
          </w:p>
        </w:tc>
        <w:tc>
          <w:tcPr>
            <w:tcW w:type="dxa" w:w="2448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base_attack_range &gt; 40</w:t>
            </w:r>
          </w:p>
        </w:tc>
        <w:tc>
          <w:tcPr>
            <w:tcW w:type="dxa" w:w="2304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floor(level / 2)</w:t>
            </w:r>
          </w:p>
        </w:tc>
        <w:tc>
          <w:tcPr>
            <w:tcW w:type="dxa" w:w="3240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+0, +1, +1, +2, +2, +3, +3, +4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非动物卡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building/mine/defense/tower 等标签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不使用固定奖励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沿用既有 10.5% 每级倍率</w:t>
            </w:r>
          </w:p>
        </w:tc>
      </w:tr>
    </w:tbl>
    <w:p>
      <w:pPr>
        <w:spacing w:after="0"/>
      </w:pP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动物最大生命 = round(基础最大生命) + 固定生命奖励；动物生命不再乘等级倍率。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攻击、移动速度、攻击范围和召唤间隔继续使用既有等级倍率。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召唤技能不改变近远程分类；近战召唤动物按近战每级 +1。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卡牌详情、玩家战斗单位、AI 与多人卡组统一调用 `CardRules.card_stats()`，不得另写公式。</w:t>
      </w:r>
    </w:p>
    <w:p>
      <w:pPr>
        <w:pStyle w:val="1"/>
      </w:pPr>
      <w:r>
        <w:t>8. 工程映射与数据边界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tblHeader w:val="true"/>
        </w:trPr>
        <w:tc>
          <w:tcPr>
            <w:tcW w:type="dxa" w:w="3528"/>
            <w:shd w:fill="2E74B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 / 模块</w:t>
            </w:r>
          </w:p>
        </w:tc>
        <w:tc>
          <w:tcPr>
            <w:tcW w:type="dxa" w:w="1944"/>
            <w:shd w:fill="2E74B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4104"/>
            <w:shd w:fill="2E74B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本次变化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scripts/shared/account_credential_rules.gd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纯凭据派生规则</w:t>
            </w:r>
          </w:p>
        </w:tc>
        <w:tc>
          <w:tcPr>
            <w:tcW w:type="dxa" w:w="41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UserID 校验、自动密码派生、自动账号判断</w:t>
            </w:r>
          </w:p>
        </w:tc>
      </w:tr>
      <w:tr>
        <w:tc>
          <w:tcPr>
            <w:tcW w:type="dxa" w:w="3528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scripts/server/player_account_store.gd</w:t>
            </w:r>
          </w:p>
        </w:tc>
        <w:tc>
          <w:tcPr>
            <w:tcW w:type="dxa" w:w="1944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服务器账号权威存储</w:t>
            </w:r>
          </w:p>
        </w:tc>
        <w:tc>
          <w:tcPr>
            <w:tcW w:type="dxa" w:w="4104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会话内游客账号原子升级、密码摘要校验、auto_generated 状态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scripts/network/online_room.gd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客户端/服务端 RPC 适配</w:t>
            </w:r>
          </w:p>
        </w:tc>
        <w:tc>
          <w:tcPr>
            <w:tcW w:type="dxa" w:w="41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本机派生；仅发送派生密码；透传 auto_generated 与本地可用状态</w:t>
            </w:r>
          </w:p>
        </w:tc>
      </w:tr>
      <w:tr>
        <w:tc>
          <w:tcPr>
            <w:tcW w:type="dxa" w:w="3528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scripts/app/main.gd</w:t>
            </w:r>
          </w:p>
        </w:tc>
        <w:tc>
          <w:tcPr>
            <w:tcW w:type="dxa" w:w="1944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账号中心 UI 与剪贴板</w:t>
            </w:r>
          </w:p>
        </w:tc>
        <w:tc>
          <w:tcPr>
            <w:tcW w:type="dxa" w:w="4104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自动账号直接查看/复制；“重新登录”文案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scripts/app/systems/multiplayer_rules.gd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全部战斗地图生成</w:t>
            </w:r>
          </w:p>
        </w:tc>
        <w:tc>
          <w:tcPr>
            <w:tcW w:type="dxa" w:w="41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基地相邻 250 营地镜像/旋转保底</w:t>
            </w:r>
          </w:p>
        </w:tc>
      </w:tr>
      <w:tr>
        <w:tc>
          <w:tcPr>
            <w:tcW w:type="dxa" w:w="3528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scripts/app/systems/card_rules.gd</w:t>
            </w:r>
          </w:p>
        </w:tc>
        <w:tc>
          <w:tcPr>
            <w:tcW w:type="dxa" w:w="1944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卡牌等级统计</w:t>
            </w:r>
          </w:p>
        </w:tc>
        <w:tc>
          <w:tcPr>
            <w:tcW w:type="dxa" w:w="4104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近战/远程固定生命成长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config/tables/cell_price_pools.csv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价格到卡池映射</w:t>
            </w:r>
          </w:p>
        </w:tc>
        <w:tc>
          <w:tcPr>
            <w:tcW w:type="dxa" w:w="41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只读，确认 250 档存在；本次不改</w:t>
            </w:r>
          </w:p>
        </w:tc>
      </w:tr>
    </w:tbl>
    <w:p>
      <w:pPr>
        <w:spacing w:after="0"/>
      </w:pPr>
    </w:p>
    <w:p>
      <w:pPr>
        <w:pStyle w:val="1"/>
      </w:pPr>
      <w:r>
        <w:t>9. 安全、隐私、日志与异常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服务端账号 JSON、RPC 结果、日志、崩溃输出与管理后台快照均不得包含派生密码、recovery_secret、salt 或 password_hash。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复制内容只写操作系统剪贴板，不写游戏存档、服务器资料或分析事件；埋点只允许记录成功/失败布尔值和错误码。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错误账号与错误密码使用统一 `invalid_credentials`，避免账号枚举；原有会话与安装绑定限制继续生效。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现有普通 ENet RPC 仍会承载口令，正式公网发行前必须迁移到校验证书的加密认证通道。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现有 12,000 轮自制 SHA-256 KDF 仅属开发阶段；正式发行前必须迁移到版本化 Argon2id/PBKDF2/bcrypt 并设置登录限速。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如果自动账号迁移写盘失败，返回 storage_error，保持原记录和安装绑定；不得出现半迁移或重复 UserID。</w:t>
      </w:r>
    </w:p>
    <w:p>
      <w:pPr>
        <w:pStyle w:val="1"/>
      </w:pPr>
      <w:r>
        <w:t>10. 美术、音频、埋点与兼容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4860"/>
        <w:gridCol w:w="4860"/>
      </w:tblGrid>
      <w:tr>
        <w:trPr>
          <w:tblHeader w:val="true"/>
        </w:trPr>
        <w:tc>
          <w:tcPr>
            <w:tcW w:type="dxa" w:w="1872"/>
            <w:shd w:fill="2E74B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7560"/>
            <w:shd w:fill="2E74B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UI 美术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不改布局、按钮尺寸、颜色、字体或点击区域；只替换文案与状态内容。</w:t>
            </w:r>
          </w:p>
        </w:tc>
      </w:tr>
      <w:tr>
        <w:tc>
          <w:tcPr>
            <w:tcW w:type="dxa" w:w="1872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地图美术</w:t>
            </w:r>
          </w:p>
        </w:tc>
        <w:tc>
          <w:tcPr>
            <w:tcW w:type="dxa" w:w="7560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复用既有 hall 图标和 250 数字绘制，不新增资产。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音频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复用 ui_click/ui_confirm/ui_error；不新增音频。</w:t>
            </w:r>
          </w:p>
        </w:tc>
      </w:tr>
      <w:tr>
        <w:tc>
          <w:tcPr>
            <w:tcW w:type="dxa" w:w="1872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埋点</w:t>
            </w:r>
          </w:p>
        </w:tc>
        <w:tc>
          <w:tcPr>
            <w:tcW w:type="dxa" w:w="7560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可选记录 auto_credential_copy、auto_account_migrated、high_price_quota_applied，禁止包含凭据文本。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兼容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Windows 鼠标键盘与 Android 触摸共用现有账号中心；Web/iOS 仍不纳入账号发布声明。</w:t>
            </w:r>
          </w:p>
        </w:tc>
      </w:tr>
      <w:tr>
        <w:tc>
          <w:tcPr>
            <w:tcW w:type="dxa" w:w="1872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可编辑 UE</w:t>
            </w:r>
          </w:p>
        </w:tc>
        <w:tc>
          <w:tcPr>
            <w:tcW w:type="dxa" w:w="7560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本轮保持已批准页面坐标，不新增 UE 页面；若未来重做账号中心布局，再补 Figma/FigJam 页面源。</w:t>
            </w:r>
          </w:p>
        </w:tc>
      </w:tr>
    </w:tbl>
    <w:p>
      <w:pPr>
        <w:spacing w:after="0"/>
      </w:pPr>
    </w:p>
    <w:p>
      <w:pPr>
        <w:pStyle w:val="1"/>
      </w:pPr>
      <w:r>
        <w:t>11. QA 验收矩阵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tblHeader w:val="true"/>
        </w:trPr>
        <w:tc>
          <w:tcPr>
            <w:tcW w:type="dxa" w:w="1080"/>
            <w:shd w:fill="2E74B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168"/>
            <w:shd w:fill="2E74B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5184"/>
            <w:shd w:fill="2E74B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AUTH-01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新 installation 首次认证</w:t>
            </w:r>
          </w:p>
        </w:tc>
        <w:tc>
          <w:tcPr>
            <w:tcW w:type="dxa" w:w="51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返回 account=UserID、has_password=true、auto_generated=true；复制可用</w:t>
            </w:r>
          </w:p>
        </w:tc>
      </w:tr>
      <w:tr>
        <w:tc>
          <w:tcPr>
            <w:tcW w:type="dxa" w:w="1080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AUTH-02</w:t>
            </w:r>
          </w:p>
        </w:tc>
        <w:tc>
          <w:tcPr>
            <w:tcW w:type="dxa" w:w="3168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派生确定性</w:t>
            </w:r>
          </w:p>
        </w:tc>
        <w:tc>
          <w:tcPr>
            <w:tcW w:type="dxa" w:w="5184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同 UserID 同密钥稳定；不同 UserID 不同；结果不等于根密钥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AUTH-03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跨 installation 登录</w:t>
            </w:r>
          </w:p>
        </w:tc>
        <w:tc>
          <w:tcPr>
            <w:tcW w:type="dxa" w:w="51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复制的账号 ID + 密码登录到同一 UserID 与资料</w:t>
            </w:r>
          </w:p>
        </w:tc>
      </w:tr>
      <w:tr>
        <w:tc>
          <w:tcPr>
            <w:tcW w:type="dxa" w:w="1080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AUTH-04</w:t>
            </w:r>
          </w:p>
        </w:tc>
        <w:tc>
          <w:tcPr>
            <w:tcW w:type="dxa" w:w="3168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旧游客迁移</w:t>
            </w:r>
          </w:p>
        </w:tc>
        <w:tc>
          <w:tcPr>
            <w:tcW w:type="dxa" w:w="5184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UserID/资料/revision 不变；补齐自动账号凭据；重启后仍可登录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AUTH-05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秘密扫描</w:t>
            </w:r>
          </w:p>
        </w:tc>
        <w:tc>
          <w:tcPr>
            <w:tcW w:type="dxa" w:w="51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服务器 JSON、响应、日志均搜索不到明文派生密码和 recovery_secret</w:t>
            </w:r>
          </w:p>
        </w:tc>
      </w:tr>
      <w:tr>
        <w:tc>
          <w:tcPr>
            <w:tcW w:type="dxa" w:w="1080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UI-01</w:t>
            </w:r>
          </w:p>
        </w:tc>
        <w:tc>
          <w:tcPr>
            <w:tcW w:type="dxa" w:w="3168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账号中心</w:t>
            </w:r>
          </w:p>
        </w:tc>
        <w:tc>
          <w:tcPr>
            <w:tcW w:type="dxa" w:w="5184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自动账号不显示游客/未设置；小按钮使用查看/隐藏或重新登录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UI-02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复制</w:t>
            </w:r>
          </w:p>
        </w:tc>
        <w:tc>
          <w:tcPr>
            <w:tcW w:type="dxa" w:w="51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剪贴板精确包含账号ID与密码；60 秒仅清理未被改写的本次内容</w:t>
            </w:r>
          </w:p>
        </w:tc>
      </w:tr>
      <w:tr>
        <w:tc>
          <w:tcPr>
            <w:tcW w:type="dxa" w:w="1080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MAP-01</w:t>
            </w:r>
          </w:p>
        </w:tc>
        <w:tc>
          <w:tcPr>
            <w:tcW w:type="dxa" w:w="3168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1V1/2V2/3V3 全地图，多固定种子</w:t>
            </w:r>
          </w:p>
        </w:tc>
        <w:tc>
          <w:tcPr>
            <w:tcW w:type="dxa" w:w="5184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每势力至少一格基地相邻、可解锁的 250 hall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MAP-02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自由混战，多固定种子</w:t>
            </w:r>
          </w:p>
        </w:tc>
        <w:tc>
          <w:tcPr>
            <w:tcW w:type="dxa" w:w="51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六势力均有旋转对称的可见 250 hall</w:t>
            </w:r>
          </w:p>
        </w:tc>
      </w:tr>
      <w:tr>
        <w:tc>
          <w:tcPr>
            <w:tcW w:type="dxa" w:w="1080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MAP-03</w:t>
            </w:r>
          </w:p>
        </w:tc>
        <w:tc>
          <w:tcPr>
            <w:tcW w:type="dxa" w:w="3168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地图回归</w:t>
            </w:r>
          </w:p>
        </w:tc>
        <w:tc>
          <w:tcPr>
            <w:tcW w:type="dxa" w:w="5184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基地、初始 50 营地、两座金矿、镜像/旋转、公平性与连通性保持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HP-01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动物 Lv1–8</w:t>
            </w:r>
          </w:p>
        </w:tc>
        <w:tc>
          <w:tcPr>
            <w:tcW w:type="dxa" w:w="51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近战与远程序列严格匹配本合同</w:t>
            </w:r>
          </w:p>
        </w:tc>
      </w:tr>
      <w:tr>
        <w:tc>
          <w:tcPr>
            <w:tcW w:type="dxa" w:w="1080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HP-02</w:t>
            </w:r>
          </w:p>
        </w:tc>
        <w:tc>
          <w:tcPr>
            <w:tcW w:type="dxa" w:w="3168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非动物与其他属性</w:t>
            </w:r>
          </w:p>
        </w:tc>
        <w:tc>
          <w:tcPr>
            <w:tcW w:type="dxa" w:w="5184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非动物生命和所有非生命属性继续既有倍率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ENG-01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Godot</w:t>
            </w:r>
          </w:p>
        </w:tc>
        <w:tc>
          <w:tcPr>
            <w:tcW w:type="dxa" w:w="51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缩进检查、全项目解析、专项测试和相关回归全部 0 失败</w:t>
            </w:r>
          </w:p>
        </w:tc>
      </w:tr>
      <w:tr>
        <w:tc>
          <w:tcPr>
            <w:tcW w:type="dxa" w:w="1080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DOC-01</w:t>
            </w:r>
          </w:p>
        </w:tc>
        <w:tc>
          <w:tcPr>
            <w:tcW w:type="dxa" w:w="3168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正式文档</w:t>
            </w:r>
          </w:p>
        </w:tc>
        <w:tc>
          <w:tcPr>
            <w:tcW w:type="dxa" w:w="5184"/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DOCX 结构检查、页面渲染和 PNG 目检通过</w:t>
            </w:r>
          </w:p>
        </w:tc>
      </w:tr>
    </w:tbl>
    <w:p>
      <w:pPr>
        <w:spacing w:after="0"/>
      </w:pPr>
    </w:p>
    <w:p>
      <w:pPr>
        <w:pStyle w:val="1"/>
      </w:pPr>
      <w:r>
        <w:t>12. 发布门禁与回滚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9721"/>
      </w:tblGrid>
      <w:tr>
        <w:tc>
          <w:tcPr>
            <w:tcW w:type="dxa" w:w="9721"/>
            <w:shd w:fill="FDECEC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本地代码与自动化通过只代表 LOCAL IMPLEMENTATION COMPLETE。未通过 TLS 认证通道、生产密码 KDF、阿里云授权部署、Windows/Android 实包跨平台登录和 Android 真机 UI 验收前，不得标记正式发行完成。</w:t>
            </w:r>
          </w:p>
        </w:tc>
      </w:tr>
    </w:tbl>
    <w:p>
      <w:pPr>
        <w:spacing w:after="0"/>
      </w:pP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回滚账号改动时，已迁移的自动账号记录仍是合法命名账号；旧客户端可用账号 ID + 密码手动登录，不得删除玩家数据。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回滚 250 保底时只撤销地图后置条件，不改价格池与卡池数据。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回滚生命规则时必须连同专项测试与正式规则版本一起处理，禁止代码与文档公式不一致。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完成收据必须记录测试命令、结果、提交、推送、未解决发布门禁和工作树保留项。</w:t>
      </w:r>
    </w:p>
    <w:sectPr w:rsidR="008141BC" w:rsidSect="00034616">
      <w:headerReference w:type="default" r:id="rId8"/>
      <w:footerReference w:type="default" r:id="rId9"/>
      <w:pgSz w:w="11909" w:h="16834"/>
      <w:pgMar w:top="1037" w:right="1094" w:bottom="979" w:left="1094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8B9AE" w14:textId="77777777" w:rsidR="00646ADF" w:rsidRDefault="00646ADF">
      <w:pPr>
        <w:spacing w:after="0" w:line="240" w:lineRule="auto"/>
      </w:pPr>
      <w:r>
        <w:separator/>
      </w:r>
    </w:p>
  </w:endnote>
  <w:endnote w:type="continuationSeparator" w:id="0">
    <w:p w14:paraId="19A5B18A" w14:textId="77777777" w:rsidR="00646ADF" w:rsidRDefault="00646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0D845" w14:textId="77777777" w:rsidR="008141BC" w:rsidRDefault="00072279">
    <w:pPr>
      <w:jc w:val="right"/>
    </w:pPr>
    <w:r>
      <w:rPr>
        <w:rFonts w:ascii="Microsoft YaHei" w:hAnsi="Microsoft YaHei" w:eastAsia="Microsoft YaHei"/>
        <w:b w:val="0"/>
        <w:color w:val="5B6574"/>
        <w:sz w:val="17"/>
      </w:rPr>
      <w:t>v1.0｜2026-08-14｜PRODUCER_APPROVED_IMPLEMENTATION_CONTRACT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5A269" w14:textId="77777777" w:rsidR="00646ADF" w:rsidRDefault="00646ADF">
      <w:pPr>
        <w:spacing w:after="0" w:line="240" w:lineRule="auto"/>
      </w:pPr>
      <w:r>
        <w:separator/>
      </w:r>
    </w:p>
  </w:footnote>
  <w:footnote w:type="continuationSeparator" w:id="0">
    <w:p w14:paraId="4B1BF399" w14:textId="77777777" w:rsidR="00646ADF" w:rsidRDefault="00646A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C8C24" w14:textId="77777777" w:rsidR="008141BC" w:rsidRDefault="008141BC">
    <w:pPr>
      <w:spacing w:after="0"/>
    </w:pPr>
    <w:r>
      <w:rPr>
        <w:rFonts w:ascii="Microsoft YaHei" w:hAnsi="Microsoft YaHei" w:eastAsia="Microsoft YaHei"/>
        <w:b w:val="0"/>
        <w:color w:val="5B6574"/>
        <w:sz w:val="17"/>
      </w:rPr>
      <w:t>丛林法则｜自动账号、250 地块与升级生命规则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864698">
    <w:abstractNumId w:val="8"/>
  </w:num>
  <w:num w:numId="2" w16cid:durableId="2104759716">
    <w:abstractNumId w:val="6"/>
  </w:num>
  <w:num w:numId="3" w16cid:durableId="233126397">
    <w:abstractNumId w:val="5"/>
  </w:num>
  <w:num w:numId="4" w16cid:durableId="1067994297">
    <w:abstractNumId w:val="4"/>
  </w:num>
  <w:num w:numId="5" w16cid:durableId="78865793">
    <w:abstractNumId w:val="7"/>
  </w:num>
  <w:num w:numId="6" w16cid:durableId="1357736598">
    <w:abstractNumId w:val="3"/>
  </w:num>
  <w:num w:numId="7" w16cid:durableId="852301111">
    <w:abstractNumId w:val="2"/>
  </w:num>
  <w:num w:numId="8" w16cid:durableId="1738897314">
    <w:abstractNumId w:val="1"/>
  </w:num>
  <w:num w:numId="9" w16cid:durableId="174819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42E"/>
    <w:rsid w:val="0006063C"/>
    <w:rsid w:val="00072279"/>
    <w:rsid w:val="00134A09"/>
    <w:rsid w:val="0015074B"/>
    <w:rsid w:val="0029639D"/>
    <w:rsid w:val="00326F90"/>
    <w:rsid w:val="00646ADF"/>
    <w:rsid w:val="008141BC"/>
    <w:rsid w:val="008B4CB4"/>
    <w:rsid w:val="00AA1D8D"/>
    <w:rsid w:val="00B47730"/>
    <w:rsid w:val="00CB0664"/>
    <w:rsid w:val="00F1018C"/>
    <w:rsid w:val="00F14D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D163B6"/>
  <w14:defaultImageDpi w14:val="330"/>
  <w15:docId w15:val="{E3B88783-F5ED-4F23-8B03-5EA5E9E56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6" w:lineRule="auto"/>
    </w:pPr>
    <w:rPr>
      <w:rFonts w:ascii="Microsoft YaHei" w:eastAsia="Microsoft YaHei" w:hAnsi="Microsoft Ya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7A7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B6574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20" w:lineRule="exact"/>
      <w:contextualSpacing/>
    </w:pPr>
    <w:rPr>
      <w:rFonts w:ascii="Microsoft YaHei" w:hAnsi="Microsoft YaHei" w:eastAsia="Microsoft YaHei"/>
      <w:color w:val="222222"/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1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320" w:lineRule="exact"/>
      <w:contextualSpacing/>
    </w:pPr>
    <w:rPr>
      <w:rFonts w:ascii="Microsoft YaHei" w:hAnsi="Microsoft YaHei" w:eastAsia="Microsoft YaHei"/>
      <w:color w:val="222222"/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Title">
    <w:name w:val="Template Title"/>
    <w:pPr>
      <w:keepNext/>
      <w:spacing w:after="240"/>
    </w:pPr>
    <w:rPr>
      <w:rFonts w:ascii="宋体" w:eastAsia="宋体" w:hAnsi="宋体"/>
      <w:b/>
      <w:color w:val="111111"/>
      <w:sz w:val="44"/>
    </w:rPr>
  </w:style>
  <w:style w:type="paragraph" w:customStyle="1" w:styleId="TemplateNote">
    <w:name w:val="Template Note"/>
    <w:pPr>
      <w:spacing w:after="100" w:line="300" w:lineRule="exact"/>
    </w:pPr>
    <w:rPr>
      <w:rFonts w:ascii="宋体" w:eastAsia="宋体" w:hAnsi="宋体"/>
      <w:color w:val="7F7F7F"/>
      <w:sz w:val="19"/>
    </w:rPr>
  </w:style>
  <w:style w:type="paragraph" w:customStyle="1" w:styleId="TemplateField">
    <w:name w:val="Template Field"/>
    <w:pPr>
      <w:spacing w:after="80" w:line="320" w:lineRule="exact"/>
    </w:pPr>
    <w:rPr>
      <w:rFonts w:ascii="宋体" w:eastAsia="宋体" w:hAnsi="宋体"/>
      <w:color w:val="0070C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134A09"/>
  </w:style>
  <w:style w:type="paragraph" w:styleId="TOC2">
    <w:name w:val="toc 2"/>
    <w:basedOn w:val="a1"/>
    <w:next w:val="a1"/>
    <w:autoRedefine/>
    <w:uiPriority w:val="39"/>
    <w:unhideWhenUsed/>
    <w:rsid w:val="00134A09"/>
    <w:pPr>
      <w:ind w:leftChars="200" w:left="420"/>
    </w:pPr>
  </w:style>
  <w:style w:type="character" w:styleId="aff9">
    <w:name w:val="Hyperlink"/>
    <w:basedOn w:val="a2"/>
    <w:uiPriority w:val="99"/>
    <w:unhideWhenUsed/>
    <w:rsid w:val="00134A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自动账号、250 地块与升级生命规则</dc:title>
  <dc:subject>账号凭据复制、地图价格保底与动物升级生命的制作人批准实施合同</dc:subject>
  <dc:creator>Codex Game Studio</dc:creator>
  <cp:keywords>Godot, account, credential, 250, map, health, balance</cp:keywords>
  <dc:description>v1.5: DOCX is the only formal document deliverable; PDF output removed.</dc:description>
  <cp:lastModifiedBy>y y tian</cp:lastModifiedBy>
  <cp:revision>3</cp:revision>
  <dcterms:created xsi:type="dcterms:W3CDTF">2013-12-23T23:15:00Z</dcterms:created>
  <dcterms:modified xsi:type="dcterms:W3CDTF">2026-07-27T07:20:00Z</dcterms:modified>
  <cp:category/>
</cp:coreProperties>
</file>