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Aegis — AI Defense Lab for Payment Security</w:t>
      </w:r>
    </w:p>
    <w:p>
      <w:r>
        <w:t>Mastercard Innovation Challenge @ GFF 2026 — Solution Walkthrough. An end-to-end Red Team vs Blue Team system for chargeback fraud (reason code 4853, defective merchandise) targeting GenAI-powered social engineering combined with synthetic damage photo evidence.</w:t>
      </w:r>
    </w:p>
    <w:p>
      <w:pPr>
        <w:pStyle w:val="Heading1"/>
      </w:pPr>
      <w:r>
        <w:t>1. Identified Attacks</w:t>
      </w:r>
    </w:p>
    <w:p>
      <w:r>
        <w:t>The attack surface is modeled as two independent axes -- a social-engineering tactic used in the dispute chat, and an image-forgery technique used to fabricate damage evidence -- swept exhaustively in Batch Evaluation and sampled live in the interactive demo.</w:t>
      </w:r>
    </w:p>
    <w:p>
      <w:pPr>
        <w:pStyle w:val="Heading2"/>
      </w:pPr>
      <w:r>
        <w:t>Social-engineering tactics</w:t>
      </w:r>
    </w:p>
    <w:tbl>
      <w:tblPr>
        <w:tblStyle w:val="LightGrid-Accent1"/>
        <w:tblW w:type="auto" w:w="0"/>
        <w:tblLook w:firstColumn="1" w:firstRow="1" w:lastColumn="0" w:lastRow="0" w:noHBand="0" w:noVBand="1" w:val="04A0"/>
      </w:tblPr>
      <w:tblGrid>
        <w:gridCol w:w="4320"/>
        <w:gridCol w:w="4320"/>
      </w:tblGrid>
      <w:tr>
        <w:tc>
          <w:tcPr>
            <w:tcW w:type="dxa" w:w="4320"/>
          </w:tcPr>
          <w:p>
            <w:r>
              <w:rPr>
                <w:b/>
              </w:rPr>
              <w:t>Tactic</w:t>
            </w:r>
          </w:p>
        </w:tc>
        <w:tc>
          <w:tcPr>
            <w:tcW w:type="dxa" w:w="4320"/>
          </w:tcPr>
          <w:p>
            <w:r>
              <w:rPr>
                <w:b/>
              </w:rPr>
              <w:t>Description</w:t>
            </w:r>
          </w:p>
        </w:tc>
      </w:tr>
      <w:tr>
        <w:tc>
          <w:tcPr>
            <w:tcW w:type="dxa" w:w="4320"/>
          </w:tcPr>
          <w:p>
            <w:r>
              <w:t>urgency_authority_impersonation</w:t>
            </w:r>
          </w:p>
        </w:tc>
        <w:tc>
          <w:tcPr>
            <w:tcW w:type="dxa" w:w="4320"/>
          </w:tcPr>
          <w:p>
            <w:r>
              <w:t>Fabricates time pressure and/or claims domain authority (e.g. 'I work in payments compliance') to rush the agent past normal scrutiny.</w:t>
            </w:r>
          </w:p>
        </w:tc>
      </w:tr>
      <w:tr>
        <w:tc>
          <w:tcPr>
            <w:tcW w:type="dxa" w:w="4320"/>
          </w:tcPr>
          <w:p>
            <w:r>
              <w:t>fabricated_policy_citation</w:t>
            </w:r>
          </w:p>
        </w:tc>
        <w:tc>
          <w:tcPr>
            <w:tcW w:type="dxa" w:w="4320"/>
          </w:tcPr>
          <w:p>
            <w:r>
              <w:t>Quotes a specific-sounding but invented merchant policy clause to make the refund look like a formality rather than a judgment call.</w:t>
            </w:r>
          </w:p>
        </w:tc>
      </w:tr>
      <w:tr>
        <w:tc>
          <w:tcPr>
            <w:tcW w:type="dxa" w:w="4320"/>
          </w:tcPr>
          <w:p>
            <w:r>
              <w:t>direct_prompt_injection</w:t>
            </w:r>
          </w:p>
        </w:tc>
        <w:tc>
          <w:tcPr>
            <w:tcW w:type="dxa" w:w="4320"/>
          </w:tcPr>
          <w:p>
            <w:r>
              <w:t>Embeds explicit instruction-override language in the chat transcript aimed at the support bot's underlying system prompt ('ignore previous instructions...').</w:t>
            </w:r>
          </w:p>
        </w:tc>
      </w:tr>
      <w:tr>
        <w:tc>
          <w:tcPr>
            <w:tcW w:type="dxa" w:w="4320"/>
          </w:tcPr>
          <w:p>
            <w:r>
              <w:t>empathy_hardship_framing</w:t>
            </w:r>
          </w:p>
        </w:tc>
        <w:tc>
          <w:tcPr>
            <w:tcW w:type="dxa" w:w="4320"/>
          </w:tcPr>
          <w:p>
            <w:r>
              <w:t>Leans on emotional hardship narrative to discourage the agent (human or AI) from pushing back or asking for more evidence.</w:t>
            </w:r>
          </w:p>
        </w:tc>
      </w:tr>
    </w:tbl>
    <w:p>
      <w:pPr>
        <w:pStyle w:val="Heading2"/>
      </w:pPr>
      <w:r>
        <w:t>Image-forgery techniques</w:t>
      </w:r>
    </w:p>
    <w:tbl>
      <w:tblPr>
        <w:tblStyle w:val="LightGrid-Accent1"/>
        <w:tblW w:type="auto" w:w="0"/>
        <w:tblLook w:firstColumn="1" w:firstRow="1" w:lastColumn="0" w:lastRow="0" w:noHBand="0" w:noVBand="1" w:val="04A0"/>
      </w:tblPr>
      <w:tblGrid>
        <w:gridCol w:w="4320"/>
        <w:gridCol w:w="4320"/>
      </w:tblGrid>
      <w:tr>
        <w:tc>
          <w:tcPr>
            <w:tcW w:type="dxa" w:w="4320"/>
          </w:tcPr>
          <w:p>
            <w:r>
              <w:rPr>
                <w:b/>
              </w:rPr>
              <w:t>Technique</w:t>
            </w:r>
          </w:p>
        </w:tc>
        <w:tc>
          <w:tcPr>
            <w:tcW w:type="dxa" w:w="4320"/>
          </w:tcPr>
          <w:p>
            <w:r>
              <w:rPr>
                <w:b/>
              </w:rPr>
              <w:t>Description</w:t>
            </w:r>
          </w:p>
        </w:tc>
      </w:tr>
      <w:tr>
        <w:tc>
          <w:tcPr>
            <w:tcW w:type="dxa" w:w="4320"/>
          </w:tcPr>
          <w:p>
            <w:r>
              <w:t>diffusion_generated_damage</w:t>
            </w:r>
          </w:p>
        </w:tc>
        <w:tc>
          <w:tcPr>
            <w:tcW w:type="dxa" w:w="4320"/>
          </w:tcPr>
          <w:p>
            <w:r>
              <w:t>Baseline: a single diffusion-generated image depicting plausible product damage, no special evasion technique.</w:t>
            </w:r>
          </w:p>
        </w:tc>
      </w:tr>
      <w:tr>
        <w:tc>
          <w:tcPr>
            <w:tcW w:type="dxa" w:w="4320"/>
          </w:tcPr>
          <w:p>
            <w:r>
              <w:t>lighting_shadow_inconsistency</w:t>
            </w:r>
          </w:p>
        </w:tc>
        <w:tc>
          <w:tcPr>
            <w:tcW w:type="dxa" w:w="4320"/>
          </w:tcPr>
          <w:p>
            <w:r>
              <w:t>Generation prompt is tuned to produce dramatic damage close-ups, which tends to introduce shadow-direction artifacts.</w:t>
            </w:r>
          </w:p>
        </w:tc>
      </w:tr>
      <w:tr>
        <w:tc>
          <w:tcPr>
            <w:tcW w:type="dxa" w:w="4320"/>
          </w:tcPr>
          <w:p>
            <w:r>
              <w:t>sensor_noise_exif_spoofing</w:t>
            </w:r>
          </w:p>
        </w:tc>
        <w:tc>
          <w:tcPr>
            <w:tcW w:type="dxa" w:w="4320"/>
          </w:tcPr>
          <w:p>
            <w:r>
              <w:t>Attempts to inject plausible-looking EXIF metadata alongside the generated image to imply a real device captured it.</w:t>
            </w:r>
          </w:p>
        </w:tc>
      </w:tr>
      <w:tr>
        <w:tc>
          <w:tcPr>
            <w:tcW w:type="dxa" w:w="4320"/>
          </w:tcPr>
          <w:p>
            <w:r>
              <w:t>spliced_edited_photo</w:t>
            </w:r>
          </w:p>
        </w:tc>
        <w:tc>
          <w:tcPr>
            <w:tcW w:type="dxa" w:w="4320"/>
          </w:tcPr>
          <w:p>
            <w:r>
              <w:t>Simulates a manually edited/spliced photo (damage patch composited onto a real product photo) rather than a fully generated image.</w:t>
            </w:r>
          </w:p>
        </w:tc>
      </w:tr>
      <w:tr>
        <w:tc>
          <w:tcPr>
            <w:tcW w:type="dxa" w:w="4320"/>
          </w:tcPr>
          <w:p>
            <w:r>
              <w:t>naive_independent_two_angle</w:t>
            </w:r>
          </w:p>
        </w:tc>
        <w:tc>
          <w:tcPr>
            <w:tcW w:type="dxa" w:w="4320"/>
          </w:tcPr>
          <w:p>
            <w:r>
              <w:t>Two required angle photos are generated independently from text, with no attempt to keep background/color/label details consistent between them.</w:t>
            </w:r>
          </w:p>
        </w:tc>
      </w:tr>
      <w:tr>
        <w:tc>
          <w:tcPr>
            <w:tcW w:type="dxa" w:w="4320"/>
          </w:tcPr>
          <w:p>
            <w:r>
              <w:t>img2img_conditioned_two_angle</w:t>
            </w:r>
          </w:p>
        </w:tc>
        <w:tc>
          <w:tcPr>
            <w:tcW w:type="dxa" w:w="4320"/>
          </w:tcPr>
          <w:p>
            <w:r>
              <w:t>Two required angle photos are generated via image-to-image conditioning (second angle derived from the first), trading better visual consistency for a subtler noise-pattern tell.</w:t>
            </w:r>
          </w:p>
        </w:tc>
      </w:tr>
    </w:tbl>
    <w:p>
      <w:pPr>
        <w:pStyle w:val="Heading1"/>
      </w:pPr>
      <w:r>
        <w:t>2. Attack Generation Methodology</w:t>
      </w:r>
    </w:p>
    <w:p>
      <w:r>
        <w:t>The Red Team agent (aegis/redteam/agent.py) writes a short customer-support chat transcript matching the sampled tactic, then generates two required photos of the claimed damage from different angles -- mirroring real anti-fraud photo verification requirements. Two image-generation strategies are implemented, representing two attacker sophistication levels:</w:t>
        <w:br/>
        <w:t>- Naive independent generation: each angle is generated from an independent text-to-image call, which tends to drift on background/color/label consistency between the two photos.</w:t>
        <w:br/>
        <w:t>- Img2img-conditioned generation: the second angle is derived from the first via image-to-image conditioning, producing much more visually consistent results at the cost of a subtler tell (near-identical noise/grain patterns between two supposedly independently captured shots).</w:t>
        <w:br/>
        <w:t>The agent escalates from the naive to the img2img strategy specifically when the Blue Team's rejection feedback indicates a cross-angle or geometric problem, and otherwise mutates its image prompt using a keyword -&gt; phrase mapping (aegis/redteam/prompts.py: MUTATION_KEYWORD_RULES) targeting whatever forensic signal most recently triggered rejection (e.g. lighting, sensor noise). Matching is by substring against each finding's own text rather than an exact type lookup, since the live vision inspector's independent checks each produce their own freeform finding labels rather than one fixed vocabulary -- confirmed necessary by a live functional run where an exact-match version of this logic silently never fired, regenerating byte-identical images across rounds.</w:t>
      </w:r>
    </w:p>
    <w:p>
      <w:pPr>
        <w:pStyle w:val="Heading1"/>
      </w:pPr>
      <w:r>
        <w:t>3. Detection &amp; Defense Architecture</w:t>
      </w:r>
    </w:p>
    <w:p>
      <w:r>
        <w:t>The Blue Team pipeline (aegis/blueteam/) runs four stages:</w:t>
        <w:br/>
        <w:br/>
        <w:t>Sanitizer: wraps all customer-supplied text in an explicit untrusted-data envelope and runs an injection classifier before any of it reaches a decision-making prompt. A definite instruction-override attempt short-circuits straight to REJECT; softer manipulative tone (fabricated urgency, invented authority, policy-citation pressure) instead raises a separate manipulation_risk_score with a plain-English reason, so tone can move the final decision even when it never crosses the hard injection line.</w:t>
        <w:br/>
        <w:br/>
        <w:t>Vision Inspector: rather than one combined prompt, the two submitted photos are pipelined through several independent model calls -- deliberately, after finding that a single mega-prompt let conclusions leak between logically separate judgments (a model justifying a low fraud score by citing good cross-image consistency, backwards reasoning for a question that should be judged from one photo's own pixels). The stages: an artifact check per photo (AI-generation/editing signs, judged from that photo alone); an exhaustive feature-by-feature identity check across both photos (same physical unit, down to logo placement and material texture); a holistic comparison check (does the same damage plausibly appear from two angles, does it match the claimed defect); and -- added specifically because extensive testing showed general-purpose vision models are reliably bad at judging fine-grained cross-angle geometric consistency directly, even with maximally rigorous step-by-step prompting -- a localization call that asks the model only to measure (name two shared landmarks and a damage bounding box per photo, no verdict at all) feeding a deterministic Python calculation of position/extent drift, plus a focused shape-match check on a cropped-and-scaled composite of just the two damage regions. The combined cross-angle score is the minimum across these three consistency methods, so any one flagging a mismatch isn't diluted by the other two looking clean, and how far apart the three methods land feeds a technique-agnostic safety-net override: high disagreement between independent methods is itself grounds to escalate to a human, even when no single score is extreme. All vision prompts use an explicitly adversarial 'investigator' persona rather than a neutral-critic framing, added after observing a default charitable reading of ambiguous evidence -- the wrong prior for a role whose job is catching submissions designed to survive exactly that. The vision inspector never receives the attacker's chosen technique -- only the images and the claimed reason -- to avoid leaking Red Team ground truth into the detector.</w:t>
        <w:br/>
        <w:br/>
        <w:t>Metadata Forensics: deterministic, non-LLM checks on real uploaded file bytes -- camera EXIF, and structurally-parsed (not naive substring-matched) C2PA content-credential and IPTC DigitalSourceType AI-declaration markers. Scoped only to real user uploads (the Try It Yourself tab), since Red Team/Batch Evaluation images are synthetically rendered by this same codebase and carry no meaningful real-world metadata to check.</w:t>
        <w:br/>
        <w:br/>
        <w:t>Supervisor: the dual-LLM defense boundary. It only ever sees the sanitizer's flags, the vision inspector's structured output, and order metadata -- never the raw chat transcript -- so a successful jailbreak of the customer-facing bot cannot reach the logic holding refund authority. It computes a weighted fraud-confidence score and applies a three-band decision -- APPROVE / ESCALATE-to-human-review / REJECT -- rather than a binary cutoff, specifically to keep ambiguous cases out of auto-denial and hold down the false-positive rate on genuine claims, plus a generalized strong-signal override list that floors the decision at ESCALATE whenever any single signal is independently suspicious, regardless of what the blended average says.</w:t>
      </w:r>
    </w:p>
    <w:p>
      <w:pPr>
        <w:pStyle w:val="Heading1"/>
      </w:pPr>
      <w:r>
        <w:t>4. Detection Efficacy (Metrics)</w:t>
      </w:r>
    </w:p>
    <w:p>
      <w:r>
        <w:t>Measured across every tactic x technique combination plus the canned legit fixtures, at decision threshold 0.6 (the REJECT boundary), against the deterministic mock pipeline -- this validates the taxonomy sweep, threshold logic, and confusion-matrix/ROC computation end-to-end without API cost; re-running Batch Evaluation with an Anthropic key populates this section with live-model numbers instead, no code changes needed:</w:t>
      </w:r>
    </w:p>
    <w:tbl>
      <w:tblPr>
        <w:tblStyle w:val="LightGrid-Accent1"/>
        <w:tblW w:type="auto" w:w="0"/>
        <w:tblLook w:firstColumn="1" w:firstRow="1" w:lastColumn="0" w:lastRow="0" w:noHBand="0" w:noVBand="1" w:val="04A0"/>
      </w:tblPr>
      <w:tblGrid>
        <w:gridCol w:w="4320"/>
        <w:gridCol w:w="4320"/>
      </w:tblGrid>
      <w:tr>
        <w:tc>
          <w:tcPr>
            <w:tcW w:type="dxa" w:w="4320"/>
          </w:tcPr>
          <w:p>
            <w:r>
              <w:rPr>
                <w:b/>
              </w:rPr>
              <w:t>Metric</w:t>
            </w:r>
          </w:p>
        </w:tc>
        <w:tc>
          <w:tcPr>
            <w:tcW w:type="dxa" w:w="4320"/>
          </w:tcPr>
          <w:p>
            <w:r>
              <w:rPr>
                <w:b/>
              </w:rPr>
              <w:t>Value</w:t>
            </w:r>
          </w:p>
        </w:tc>
      </w:tr>
      <w:tr>
        <w:tc>
          <w:tcPr>
            <w:tcW w:type="dxa" w:w="4320"/>
          </w:tcPr>
          <w:p>
            <w:r>
              <w:t>Precision</w:t>
            </w:r>
          </w:p>
        </w:tc>
        <w:tc>
          <w:tcPr>
            <w:tcW w:type="dxa" w:w="4320"/>
          </w:tcPr>
          <w:p>
            <w:r>
              <w:t>1.00</w:t>
            </w:r>
          </w:p>
        </w:tc>
      </w:tr>
      <w:tr>
        <w:tc>
          <w:tcPr>
            <w:tcW w:type="dxa" w:w="4320"/>
          </w:tcPr>
          <w:p>
            <w:r>
              <w:t>Recall</w:t>
            </w:r>
          </w:p>
        </w:tc>
        <w:tc>
          <w:tcPr>
            <w:tcW w:type="dxa" w:w="4320"/>
          </w:tcPr>
          <w:p>
            <w:r>
              <w:t>0.46</w:t>
            </w:r>
          </w:p>
        </w:tc>
      </w:tr>
      <w:tr>
        <w:tc>
          <w:tcPr>
            <w:tcW w:type="dxa" w:w="4320"/>
          </w:tcPr>
          <w:p>
            <w:r>
              <w:t>F1</w:t>
            </w:r>
          </w:p>
        </w:tc>
        <w:tc>
          <w:tcPr>
            <w:tcW w:type="dxa" w:w="4320"/>
          </w:tcPr>
          <w:p>
            <w:r>
              <w:t>0.63</w:t>
            </w:r>
          </w:p>
        </w:tc>
      </w:tr>
      <w:tr>
        <w:tc>
          <w:tcPr>
            <w:tcW w:type="dxa" w:w="4320"/>
          </w:tcPr>
          <w:p>
            <w:r>
              <w:t>False Positive Rate</w:t>
            </w:r>
          </w:p>
        </w:tc>
        <w:tc>
          <w:tcPr>
            <w:tcW w:type="dxa" w:w="4320"/>
          </w:tcPr>
          <w:p>
            <w:r>
              <w:t>0.00</w:t>
            </w:r>
          </w:p>
        </w:tc>
      </w:tr>
      <w:tr>
        <w:tc>
          <w:tcPr>
            <w:tcW w:type="dxa" w:w="4320"/>
          </w:tcPr>
          <w:p>
            <w:r>
              <w:t>AUC (threshold-independent)</w:t>
            </w:r>
          </w:p>
        </w:tc>
        <w:tc>
          <w:tcPr>
            <w:tcW w:type="dxa" w:w="4320"/>
          </w:tcPr>
          <w:p>
            <w:r>
              <w:t>0.963</w:t>
            </w:r>
          </w:p>
        </w:tc>
      </w:tr>
    </w:tbl>
    <w:p>
      <w:r>
        <w:t>Confusion matrix:</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p>
        </w:tc>
        <w:tc>
          <w:tcPr>
            <w:tcW w:type="dxa" w:w="2880"/>
          </w:tcPr>
          <w:p>
            <w:r>
              <w:rPr>
                <w:b/>
              </w:rPr>
              <w:t>Actual Fraud</w:t>
            </w:r>
          </w:p>
        </w:tc>
        <w:tc>
          <w:tcPr>
            <w:tcW w:type="dxa" w:w="2880"/>
          </w:tcPr>
          <w:p>
            <w:r>
              <w:rPr>
                <w:b/>
              </w:rPr>
              <w:t>Actual Legit</w:t>
            </w:r>
          </w:p>
        </w:tc>
      </w:tr>
      <w:tr>
        <w:tc>
          <w:tcPr>
            <w:tcW w:type="dxa" w:w="2880"/>
          </w:tcPr>
          <w:p>
            <w:r>
              <w:t>Predicted Fraud</w:t>
            </w:r>
          </w:p>
        </w:tc>
        <w:tc>
          <w:tcPr>
            <w:tcW w:type="dxa" w:w="2880"/>
          </w:tcPr>
          <w:p>
            <w:r>
              <w:t>11</w:t>
            </w:r>
          </w:p>
        </w:tc>
        <w:tc>
          <w:tcPr>
            <w:tcW w:type="dxa" w:w="2880"/>
          </w:tcPr>
          <w:p>
            <w:r>
              <w:t>0</w:t>
            </w:r>
          </w:p>
        </w:tc>
      </w:tr>
      <w:tr>
        <w:tc>
          <w:tcPr>
            <w:tcW w:type="dxa" w:w="2880"/>
          </w:tcPr>
          <w:p>
            <w:r>
              <w:t>Predicted Legit</w:t>
            </w:r>
          </w:p>
        </w:tc>
        <w:tc>
          <w:tcPr>
            <w:tcW w:type="dxa" w:w="2880"/>
          </w:tcPr>
          <w:p>
            <w:r>
              <w:t>13</w:t>
            </w:r>
          </w:p>
        </w:tc>
        <w:tc>
          <w:tcPr>
            <w:tcW w:type="dxa" w:w="2880"/>
          </w:tcPr>
          <w:p>
            <w:r>
              <w:t>10</w:t>
            </w:r>
          </w:p>
        </w:tc>
      </w:tr>
    </w:tbl>
    <w:p>
      <w:r>
        <w:t>Note on recall: this confusion matrix counts only REJECT as 'predicted fraud' -- a fraud case the system correctly routes to ESCALATE (ambiguous, human review) rather than either auto-approving or auto-rejecting counts as a miss here, even though it never reaches an incorrect automated decision. That is deliberate: the three-band design (Section 3) treats ESCALATE as a distinct, safer outcome from both APPROVE and REJECT, so a strict REJECT-only recall figure understates how much fraud never slips through as a silent approval. Zero false positives (FP=0) on the genuine-claim fixtures at this same threshold is the more direct evidence for the 'low false positives on legitimate payments' requirement.</w:t>
      </w:r>
    </w:p>
    <w:p>
      <w:pPr>
        <w:pStyle w:val="Heading1"/>
      </w:pPr>
      <w:r>
        <w:t>5. Real-World Feasibility</w:t>
      </w:r>
    </w:p>
    <w:p>
      <w:r>
        <w:t>Deloitte's Center for Financial Services projects that generative AI could enable fraud losses in the United States to reach $40 billion by 2027, up from $12.3 billion in 2023 -- a 32% compound annual growth rate (Deloitte, 'Generative AI is expected to exacerbate fraud losses'). Chargeback disputes backed by synthetic photo evidence, the specific attack this system targets, are a direct instance of that growth curve: image generation has made fabricating 'damaged merchandise' evidence cheap and fast at exactly the moment support teams are under pressure to resolve disputes quickly.</w:t>
        <w:br/>
        <w:br/>
        <w:t>The pipeline adds a handful of small model calls and negligible local computation per dispute -- well within typical customer-support response-time budgets, and cheaper than the cost of a single successful fraudulent chargeback at scale. The ESCALATE band is deliberately sized to route the ambiguous middle of the distribution to human review rather than forcing a binary auto-decision, matching how real dispute operations already combine automation with human adjudication -- and the Try It Yourself tab demonstrates exactly that workflow: live detection signals inform a recommendation, but a human analyst makes the final, independently recorded call. That division of labor is also the honest answer to a limitation this project surfaced directly: general-purpose vision models proved unreliable at judging fine-grained cross-angle geometric consistency on their own (Section 3), and no amount of prompting fully closed that gap -- which is precisely the case for keeping a human in the loop for the cases automation can't confidently resolve, rather than presenting full automation as a solved problem.</w:t>
      </w:r>
    </w:p>
    <w:p>
      <w:pPr>
        <w:pStyle w:val="Heading1"/>
      </w:pPr>
      <w:r>
        <w:t>Reproducibility</w:t>
      </w:r>
    </w:p>
    <w:p>
      <w:r>
        <w:t>pip install -r requirements.txt &amp;&amp; streamlit run app.py -- runs entirely on a deterministic offline mock provider with zero API keys and zero cost. Adding ANTHROPIC_API_KEY to .env switches Red Team text generation and Blue Team vision inspection to live Claude Haiku 4.5 / Sonnet 4.5 calls with no code changes; the app's sidebar also accepts a key at runtime for a single session (never written to disk), so a reviewer can try live mode without touching .env at all.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