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color w:val="64748B"/>
          <w:sz w:val="22"/>
        </w:rPr>
        <w:t>ДЕПАРТАМЕНТ ГРАДОСТРОИТЕЛЬНОЙ ПОЛИТИКИ ГОРОДА МОСКВЫ</w:t>
        <w:br/>
        <w:t>ХАКАТОН «ЛИДЕРЫ ЦИФРОВОЙ ТРАНСФОРМАЦИИ 2026»</w:t>
        <w:br/>
        <w:br/>
      </w:r>
      <w:r>
        <w:rPr>
          <w:rFonts w:ascii="Arial" w:hAnsi="Arial"/>
          <w:b/>
          <w:color w:val="0F172A"/>
          <w:sz w:val="36"/>
        </w:rPr>
        <w:t>СОПРОВОДИТЕЛЬНАЯ ТЕХНИЧЕСКАЯ ДОКУМЕНТАЦИЯ</w:t>
        <w:br/>
      </w:r>
    </w:p>
    <w:p>
      <w:pPr>
        <w:jc w:val="center"/>
      </w:pPr>
      <w:r>
        <w:rPr>
          <w:rFonts w:ascii="Arial" w:hAnsi="Arial"/>
          <w:b/>
          <w:color w:val="0284C7"/>
          <w:sz w:val="24"/>
        </w:rPr>
        <w:t>Автоматизированный сервис поиска нарушений на строительных площадках Москвы («Строй-контроль»)</w:t>
        <w:br/>
        <w:t>Команда: Black Lotus</w:t>
        <w:br/>
      </w:r>
    </w:p>
    <w:p>
      <w:pPr>
        <w:jc w:val="center"/>
      </w:pPr>
      <w:r>
        <w:t>────────────────────────────────────────────────</w:t>
      </w:r>
    </w:p>
    <w:p>
      <w:pPr>
        <w:pStyle w:val="Heading1"/>
      </w:pPr>
      <w:r>
        <w:t>1. Модель данных и структура хранения информации</w:t>
      </w:r>
    </w:p>
    <w:p>
      <w:r>
        <w:t>Хранение данных организовано на базе реляционной СУБД PostgreSQL 16 (с поддержкой SQLite для локальных тестов и автономного режима). Схема базы данных спроектирована в соответствии с принципами третьей нормальной формы (3NF), использует первичные ключи UUIDv4 для распределенной целостности и снабжена аудиторскими метками времени (created_at, updated_at в UTC).</w:t>
      </w:r>
    </w:p>
    <w:p>
      <w:pPr>
        <w:pStyle w:val="Heading2"/>
      </w:pPr>
      <w:r>
        <w:t>1.1. Описание основных таблиц базы данных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rFonts w:ascii="Arial" w:hAnsi="Arial"/>
                <w:b/>
                <w:sz w:val="19"/>
              </w:rPr>
              <w:t>Таблица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b/>
                <w:sz w:val="19"/>
              </w:rPr>
              <w:t>Ключевые поля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b/>
                <w:sz w:val="19"/>
              </w:rPr>
              <w:t>Назначение и связи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7"/>
              </w:rPr>
              <w:t>users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7"/>
              </w:rPr>
              <w:t>id, username, hashed_password, role, is_active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7"/>
              </w:rPr>
              <w:t>Учетные записи пользователей, роли (admin, manager, inspector, viewer), JWT-аутентификация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7"/>
              </w:rPr>
              <w:t>projects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7"/>
              </w:rPr>
              <w:t>id, code, name, address, object_kind, status, owner_username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7"/>
              </w:rPr>
              <w:t>Строительные объекты города Москвы. Поле owner_username обеспечивает строгую изоляцию рабочих областей пользователей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7"/>
              </w:rPr>
              <w:t>zones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7"/>
              </w:rPr>
              <w:t>id, project_id (FK), name, code, description, risk_level, boundary_points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7"/>
              </w:rPr>
              <w:t>Зонирование площадки (котлован, монолитные корпуса, склад, проезды, бытовой городок)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7"/>
              </w:rPr>
              <w:t>cameras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7"/>
              </w:rPr>
              <w:t>id, project_id (FK), zone_id (FK), code, name, stream_url, snapshot_url, status, resolution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7"/>
              </w:rPr>
              <w:t>Сетевые IP-камеры (RTSP/HLS/MJPEG), привязка к зонам, частота кадров и статус доступности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7"/>
              </w:rPr>
              <w:t>schedule_tasks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7"/>
              </w:rPr>
              <w:t>id, project_id (FK), zone_id (FK), task_code, name, planned_start, planned_end, progress_percent, status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7"/>
              </w:rPr>
              <w:t>Календарный график производства СМР (WBS), плановые и фактические даты, расчет отставаний и сдвигов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7"/>
              </w:rPr>
              <w:t>incidents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7"/>
              </w:rPr>
              <w:t>id, project_id (FK), zone_id (FK), camera_id (FK), stage_id (FK), code, title, discrepancy_type, severity, snapshot_url, album_urls, detected_at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7"/>
              </w:rPr>
              <w:t>Журнал нарушений регламентов. Поле album_urls содержит снимки со ВСЕХ камер объекта в момент фиксации проблемы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7"/>
              </w:rPr>
              <w:t>detections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7"/>
              </w:rPr>
              <w:t>id, incident_id (FK), camera_id, timestamp, class_name, confidence, bbox_x, bbox_y, bbox_w, bbox_h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7"/>
              </w:rPr>
              <w:t>Временной ряд детекций нейросетевого зрения (YOLO) с координатами ограничивающих рамок и уверенностью</w:t>
            </w:r>
          </w:p>
        </w:tc>
      </w:tr>
    </w:tbl>
    <w:p/>
    <w:p>
      <w:pPr>
        <w:pStyle w:val="Heading1"/>
      </w:pPr>
      <w:r>
        <w:t>2. Условия, параметры и ограничения работы системы</w:t>
      </w:r>
    </w:p>
    <w:p>
      <w:pPr>
        <w:pStyle w:val="Heading2"/>
      </w:pPr>
      <w:r>
        <w:t>2.1. Данные обучения и классы нейросетевого детектора</w:t>
      </w:r>
    </w:p>
    <w:p>
      <w:r>
        <w:t>В качестве детектора используется сверточная нейросеть архитектуры YOLOv8/v11, дообученная на специализированном строительном датасете (12 000+ размеченных кадров в различных сезонных и погодных условиях). Детектор уверенно распознает 10 ключевых классов спецтехники:</w:t>
        <w:br/>
        <w:t>1. Экскаватор (Excavator)</w:t>
        <w:br/>
        <w:t>2. Самосвал грузовой (Dump truck)</w:t>
        <w:br/>
        <w:t>3. Бульдозер (Bulldozer)</w:t>
        <w:br/>
        <w:t>4. Башенный кран стационарный (Tower crane)</w:t>
        <w:br/>
        <w:t>5. Автокран стреловой (Truck crane)</w:t>
        <w:br/>
        <w:t>6. Автобетоносмеситель / миксер (Concrete mixer)</w:t>
        <w:br/>
        <w:t>7. Автобетононасос (Concrete pump)</w:t>
        <w:br/>
        <w:t>8. Фронтальный погрузчик (Loader)</w:t>
        <w:br/>
        <w:t>9. Экскаватор-погрузчик (Backhoe loader)</w:t>
        <w:br/>
        <w:t>10. Каток дорожный / грунтовый (Roller)</w:t>
      </w:r>
    </w:p>
    <w:p>
      <w:pPr>
        <w:pStyle w:val="Heading2"/>
      </w:pPr>
      <w:r>
        <w:t>2.2. Требования к оптике и видеопотокам</w:t>
      </w:r>
    </w:p>
    <w:p>
      <w:r>
        <w:t>• Разрешение кадра: рекомендуемое 1920×1080 (Full HD) или 2560×1440; минимально допустимое — 1280×720 (HD).</w:t>
        <w:br/>
        <w:t>• Частота анализа: 1–2 кадра/сек для потокового инференса (достаточно для контроля медленно перемещающейся строительной техники).</w:t>
        <w:br/>
        <w:t>• Размер объекта: техника должна занимать не менее 40×40 пикселей в кадре для уверенной детекции (conf &gt;= 0.60).</w:t>
        <w:br/>
        <w:t>• Углы установки камер: высота подвеса 8–20 м на мачтах освещения или конструкциях, угол наклона 30°–50° к горизонту.</w:t>
      </w:r>
    </w:p>
    <w:p>
      <w:pPr>
        <w:pStyle w:val="Heading2"/>
      </w:pPr>
      <w:r>
        <w:t>2.3. Погодные и технологические ограничения</w:t>
      </w:r>
    </w:p>
    <w:p>
      <w:r>
        <w:t>• Освещенность: при снижении естественной освещенности ниже 50 люкс требуется искусственное прожекторное освещение площадки.</w:t>
        <w:br/>
        <w:t>• Метеоусловия: при сильном тумане, буране или загрязнении объектива система регистрирует деградацию качества (DEGRADED_VISIBILITY) и формирует предупреждение техническому персоналу.</w:t>
        <w:br/>
        <w:t>• Преодоление слепых зон: система использует синхронную мультикамерную пространственную агрегацию — кадры со всех камер объединяются в единое множество техники этапа.</w:t>
      </w:r>
    </w:p>
    <w:p>
      <w:pPr>
        <w:pStyle w:val="Heading2"/>
      </w:pPr>
      <w:r>
        <w:t>2.4. Логика сопоставления с календарным графиком</w:t>
      </w:r>
    </w:p>
    <w:p>
      <w:r>
        <w:t>• Справочник соответствий: нормативный классификатор связей этапов СМР и спецтехники Мосгосстройнадзора (final_pars.csv, 46 этапов).</w:t>
        <w:br/>
        <w:t>• Темпоральный буфер: 30-секундное скользящее окно накопления наблюдений предотвращает ложные срабатывания при маневрах техники.</w:t>
        <w:br/>
        <w:t>• Всеракурсная фотофиксация: в момент обнаружения несоответствия мгновенно сохраняются снимки со ВСЕХ активных камер объекта. В итоговый отчет выводится снимок первой камеры, а в фотоархиве доступны ракурсы со всех камер для подтверждения и аудита.</w:t>
      </w:r>
    </w:p>
    <w:p>
      <w:pPr>
        <w:pStyle w:val="Heading1"/>
      </w:pPr>
      <w:r>
        <w:t>3. Пошаговая инструкция по сборке, установке и запуску</w:t>
      </w:r>
    </w:p>
    <w:p>
      <w:pPr>
        <w:pStyle w:val="Heading2"/>
      </w:pPr>
      <w:r>
        <w:t>3.1. Запуск через Docker Compose (Рекомендуемый способ)</w:t>
      </w:r>
    </w:p>
    <w:p>
      <w:r>
        <w:t>Решение упаковано в Docker-контейнеры и разворачивается одной командой на любом Linux/Windows VPS-сервере или рабочей станции.</w:t>
        <w:br/>
        <w:br/>
        <w:t>1. Клонирование репозитория:</w:t>
        <w:br/>
        <w:t xml:space="preserve">   git clone https://github.com/Black-Lotus-2026/LTC-stroy-control.git</w:t>
        <w:br/>
        <w:t xml:space="preserve">   cd LTC-stroy-control</w:t>
        <w:br/>
        <w:br/>
        <w:t>2. Запуск контейнеров:</w:t>
        <w:br/>
        <w:t xml:space="preserve">   docker compose up --build -d</w:t>
        <w:br/>
        <w:br/>
        <w:t>3. Проверка статуса сервисов:</w:t>
        <w:br/>
        <w:t xml:space="preserve">   docker compose ps</w:t>
        <w:br/>
        <w:t xml:space="preserve">   curl http://localhost:8000/api/v1/health</w:t>
        <w:br/>
        <w:br/>
        <w:t>4. Доступ к системе:</w:t>
        <w:br/>
        <w:t xml:space="preserve">   • Веб-интерфейс: http://localhost:5173</w:t>
        <w:br/>
        <w:t xml:space="preserve">   • Swagger REST API: http://localhost:8000/docs</w:t>
      </w:r>
    </w:p>
    <w:p>
      <w:pPr>
        <w:pStyle w:val="Heading2"/>
      </w:pPr>
      <w:r>
        <w:t>3.2. Локальный запуск без Docker (для разработки)</w:t>
      </w:r>
    </w:p>
    <w:p>
      <w:r>
        <w:t>Бэкенд (Python 3.11+):</w:t>
        <w:br/>
        <w:t xml:space="preserve">   cd backend</w:t>
        <w:br/>
        <w:t xml:space="preserve">   pip install -r requirements.txt</w:t>
        <w:br/>
        <w:t xml:space="preserve">   uvicorn app.main:app --port 8000 --reload</w:t>
        <w:br/>
        <w:br/>
        <w:t>Фронтенд (Node.js 18+):</w:t>
        <w:br/>
        <w:t xml:space="preserve">   npm install</w:t>
        <w:br/>
        <w:t xml:space="preserve">   npm run dev</w:t>
        <w:br/>
        <w:t xml:space="preserve">   Интерфейс откроется по адресу http://localhost:5173</w:t>
      </w:r>
    </w:p>
    <w:p>
      <w:pPr>
        <w:pStyle w:val="Heading2"/>
      </w:pPr>
      <w:r>
        <w:t>3.3. Автоматизированные тесты</w:t>
      </w:r>
    </w:p>
    <w:p>
      <w:r>
        <w:t>Проект снабжен полным набором модульных и интеграционных тестов (pytest):</w:t>
        <w:br/>
        <w:t xml:space="preserve">   pytest backend/tests/</w:t>
        <w:br/>
        <w:t>Все 37 тестов проходят со 100% успехом.</w:t>
      </w:r>
    </w:p>
    <w:p>
      <w:pPr>
        <w:pStyle w:val="Heading1"/>
      </w:pPr>
      <w:r>
        <w:t>4. Перспективы развития и масштабирования (Roadmap)</w:t>
      </w:r>
    </w:p>
    <w:p>
      <w:pPr>
        <w:pStyle w:val="Heading2"/>
      </w:pPr>
      <w:r>
        <w:t>4.1. Автономный ИИ-агент планирования по ПОС и ППР</w:t>
      </w:r>
    </w:p>
    <w:p>
      <w:r>
        <w:t>• Интеллектуальный анализ проектной документации: специализированный мультиагентный сервис на базе LLM для автоматического парсинга Проекта организации строительства (ПОС) и Проекта производства работ (ППР).</w:t>
        <w:br/>
        <w:t>• Автоматическая генерация графика СМР: агент извлекает календарные сроки, объемы работ, ведомости потребности в машинах и механизмах, рассчитывает технологические зависимости и строит календарный график без ручного ввода.</w:t>
        <w:br/>
        <w:t>• Пространственная привязка к стройгенплану: сопоставление зон работы техники с чертежами стройгенплана для автоматического определения зон контроля.</w:t>
      </w:r>
    </w:p>
    <w:p>
      <w:pPr>
        <w:pStyle w:val="Heading2"/>
      </w:pPr>
      <w:r>
        <w:t>4.2. Мультимодальный анализ нарушений (VLM)</w:t>
      </w:r>
    </w:p>
    <w:p>
      <w:r>
        <w:t>• Контекстная оценка сцены: интеграция Vision-Language Models (VLM) в качестве второго экспертного уровня анализа сложных инцидентов.</w:t>
        <w:br/>
        <w:t>• Выявление скрытых факторов: VLM анализирует комплексные нештатные ситуации — технологические перерывы (схватывание бетона, технологические паузы), погодные аномалии (затопление котлована, наледь), нахождение людей в опасных зонах работы тяжелой техники.</w:t>
        <w:br/>
        <w:t>• Экспертные заключения: автоматическое составление развернутых текстовых отчетов для технадзора с рекомендациями по ликвидации отставания от графика.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