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158"/>
        <w:ind w:left="0" w:right="62" w:hanging="0"/>
        <w:jc w:val="center"/>
        <w:rPr>
          <w:b/>
          <w:b/>
          <w:sz w:val="40"/>
          <w:szCs w:val="40"/>
        </w:rPr>
      </w:pPr>
      <w:r>
        <w:rPr>
          <w:b/>
          <w:sz w:val="40"/>
          <w:szCs w:val="40"/>
        </w:rPr>
        <w:t>Black Sabre Response</w:t>
      </w:r>
    </w:p>
    <w:p>
      <w:pPr>
        <w:pStyle w:val="Normal"/>
        <w:spacing w:lineRule="auto" w:line="259" w:before="0" w:after="158"/>
        <w:ind w:left="0" w:right="62" w:hanging="0"/>
        <w:jc w:val="center"/>
        <w:rPr>
          <w:b/>
          <w:b/>
          <w:sz w:val="32"/>
          <w:u w:val="single" w:color="000000"/>
        </w:rPr>
      </w:pPr>
      <w:r>
        <w:rPr>
          <w:b/>
          <w:sz w:val="32"/>
          <w:u w:val="single" w:color="000000"/>
        </w:rPr>
      </w:r>
    </w:p>
    <w:p>
      <w:pPr>
        <w:pStyle w:val="Normal"/>
        <w:spacing w:lineRule="auto" w:line="259" w:before="0" w:after="158"/>
        <w:ind w:left="0" w:right="62" w:hanging="0"/>
        <w:rPr>
          <w:b/>
          <w:b/>
          <w:sz w:val="32"/>
          <w:u w:val="single" w:color="000000"/>
        </w:rPr>
      </w:pPr>
      <w:r>
        <w:rPr>
          <w:b/>
          <w:sz w:val="32"/>
          <w:u w:val="single" w:color="000000"/>
        </w:rPr>
      </w:r>
    </w:p>
    <w:p>
      <w:pPr>
        <w:pStyle w:val="Normal"/>
        <w:spacing w:lineRule="auto" w:line="259" w:before="0" w:after="158"/>
        <w:ind w:left="0" w:right="62" w:hanging="0"/>
        <w:jc w:val="center"/>
        <w:rPr>
          <w:b/>
          <w:b/>
          <w:sz w:val="32"/>
          <w:u w:val="single" w:color="000000"/>
        </w:rPr>
      </w:pPr>
      <w:r>
        <w:rPr>
          <w:b/>
          <w:sz w:val="32"/>
          <w:u w:val="single" w:color="000000"/>
        </w:rPr>
      </w:r>
    </w:p>
    <w:p>
      <w:pPr>
        <w:pStyle w:val="Normal"/>
        <w:spacing w:lineRule="auto" w:line="259" w:before="0" w:after="158"/>
        <w:ind w:left="0" w:right="62" w:hanging="0"/>
        <w:jc w:val="center"/>
        <w:rPr>
          <w:b/>
          <w:b/>
          <w:sz w:val="32"/>
        </w:rPr>
      </w:pPr>
      <w:r>
        <w:rPr>
          <w:b/>
          <w:sz w:val="32"/>
        </w:rPr>
      </w:r>
    </w:p>
    <w:p>
      <w:pPr>
        <w:pStyle w:val="Normal"/>
        <w:spacing w:lineRule="auto" w:line="259" w:before="0" w:after="158"/>
        <w:ind w:left="0" w:right="62" w:hanging="0"/>
        <w:rPr>
          <w:b/>
          <w:b/>
          <w:sz w:val="32"/>
        </w:rPr>
      </w:pPr>
      <w:r>
        <w:rPr>
          <w:b/>
          <w:sz w:val="32"/>
        </w:rPr>
      </w:r>
    </w:p>
    <w:p>
      <w:pPr>
        <w:pStyle w:val="Normal"/>
        <w:spacing w:lineRule="auto" w:line="259" w:before="0" w:after="158"/>
        <w:ind w:left="0" w:right="62" w:hanging="0"/>
        <w:jc w:val="center"/>
        <w:rPr>
          <w:b/>
          <w:b/>
          <w:sz w:val="32"/>
        </w:rPr>
      </w:pPr>
      <w:r>
        <w:rPr>
          <w:b/>
          <w:sz w:val="32"/>
        </w:rPr>
      </w:r>
    </w:p>
    <w:p>
      <w:pPr>
        <w:pStyle w:val="Normal"/>
        <w:spacing w:lineRule="auto" w:line="259" w:before="0" w:after="158"/>
        <w:ind w:left="0" w:right="62" w:hanging="0"/>
        <w:jc w:val="center"/>
        <w:rPr>
          <w:b/>
          <w:b/>
          <w:sz w:val="48"/>
          <w:szCs w:val="48"/>
        </w:rPr>
      </w:pPr>
      <w:r>
        <w:rPr>
          <w:b/>
          <w:sz w:val="48"/>
          <w:szCs w:val="48"/>
        </w:rPr>
        <w:t>PROJECT CHARTER</w:t>
      </w:r>
    </w:p>
    <w:p>
      <w:pPr>
        <w:pStyle w:val="Heading1"/>
        <w:ind w:left="0" w:right="65" w:hanging="0"/>
        <w:rPr/>
      </w:pPr>
      <w:r>
        <w:rPr/>
      </w:r>
    </w:p>
    <w:p>
      <w:pPr>
        <w:pStyle w:val="Normal"/>
        <w:ind w:left="0" w:right="65" w:hanging="0"/>
        <w:rPr/>
      </w:pPr>
      <w:r>
        <w:rPr/>
      </w:r>
    </w:p>
    <w:p>
      <w:pPr>
        <w:pStyle w:val="Normal"/>
        <w:ind w:left="0" w:right="65" w:hanging="0"/>
        <w:rPr/>
      </w:pPr>
      <w:r>
        <w:rPr/>
      </w:r>
    </w:p>
    <w:p>
      <w:pPr>
        <w:pStyle w:val="Normal"/>
        <w:ind w:left="0" w:right="65" w:hanging="0"/>
        <w:rPr/>
      </w:pPr>
      <w:r>
        <w:rPr/>
      </w:r>
    </w:p>
    <w:p>
      <w:pPr>
        <w:pStyle w:val="Normal"/>
        <w:ind w:left="0" w:right="65" w:hanging="0"/>
        <w:rPr/>
      </w:pPr>
      <w:r>
        <w:rPr/>
      </w:r>
    </w:p>
    <w:p>
      <w:pPr>
        <w:pStyle w:val="Normal"/>
        <w:ind w:left="0" w:right="65" w:hanging="0"/>
        <w:rPr/>
      </w:pPr>
      <w:r>
        <w:rPr/>
      </w:r>
    </w:p>
    <w:p>
      <w:pPr>
        <w:pStyle w:val="Normal"/>
        <w:ind w:left="0" w:right="65" w:hanging="0"/>
        <w:rPr/>
      </w:pPr>
      <w:r>
        <w:rPr/>
      </w:r>
    </w:p>
    <w:p>
      <w:pPr>
        <w:pStyle w:val="Normal"/>
        <w:ind w:left="0" w:right="65" w:hanging="0"/>
        <w:rPr/>
      </w:pPr>
      <w:r>
        <w:rPr/>
      </w:r>
    </w:p>
    <w:p>
      <w:pPr>
        <w:pStyle w:val="Normal"/>
        <w:ind w:left="0" w:right="65" w:hanging="0"/>
        <w:rPr/>
      </w:pPr>
      <w:r>
        <w:rPr/>
      </w:r>
    </w:p>
    <w:p>
      <w:pPr>
        <w:pStyle w:val="Normal"/>
        <w:ind w:left="0" w:right="65" w:hanging="0"/>
        <w:rPr/>
      </w:pPr>
      <w:r>
        <w:rPr/>
      </w:r>
    </w:p>
    <w:p>
      <w:pPr>
        <w:pStyle w:val="Normal"/>
        <w:ind w:left="0" w:right="65" w:hanging="0"/>
        <w:rPr/>
      </w:pPr>
      <w:r>
        <w:rPr/>
        <w:t>Revision History</w:t>
      </w:r>
    </w:p>
    <w:p>
      <w:pPr>
        <w:pStyle w:val="Normal"/>
        <w:rPr/>
      </w:pPr>
      <w:r>
        <w:rPr/>
      </w:r>
    </w:p>
    <w:p>
      <w:pPr>
        <w:pStyle w:val="Normal"/>
        <w:rPr/>
      </w:pPr>
      <w:r>
        <w:rPr/>
      </w:r>
    </w:p>
    <w:tbl>
      <w:tblPr>
        <w:tblStyle w:val="LightList-Accent1"/>
        <w:tblW w:w="90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65"/>
        <w:gridCol w:w="1712"/>
        <w:gridCol w:w="3041"/>
        <w:gridCol w:w="2263"/>
      </w:tblGrid>
      <w:tr>
        <w:trPr>
          <w:trHeight w:val="267" w:hRule="atLeast"/>
          <w:cnfStyle w:val="100000000000" w:firstRow="1" w:lastRow="0" w:firstColumn="0" w:lastColumn="0" w:oddVBand="0" w:evenVBand="0" w:oddHBand="0" w:evenHBand="0" w:firstRowFirstColumn="0" w:firstRowLastColumn="0" w:lastRowFirstColumn="0" w:lastRowLastColumn="0"/>
        </w:trPr>
        <w:tc>
          <w:tcPr>
            <w:tcW w:w="2065" w:type="dxa"/>
            <w:cnfStyle w:val="001000000000" w:firstRow="0" w:lastRow="0" w:firstColumn="1" w:lastColumn="0" w:oddVBand="0" w:evenVBand="0" w:oddHBand="0" w:evenHBand="0" w:firstRowFirstColumn="0" w:firstRowLastColumn="0" w:lastRowFirstColumn="0" w:lastRowLastColumn="0"/>
            <w:tcBorders>
              <w:top w:val="single" w:sz="4" w:space="0" w:color="44546A"/>
              <w:left w:val="single" w:sz="4" w:space="0" w:color="44546A"/>
              <w:bottom w:val="single" w:sz="4" w:space="0" w:color="44546A"/>
              <w:right w:val="single" w:sz="4" w:space="0" w:color="44546A"/>
            </w:tcBorders>
            <w:shd w:color="auto" w:fill="5B9BD5" w:themeFill="accent1" w:val="clear"/>
          </w:tcPr>
          <w:p>
            <w:pPr>
              <w:pStyle w:val="Normal"/>
              <w:widowControl w:val="false"/>
              <w:suppressAutoHyphens w:val="true"/>
              <w:spacing w:before="0" w:after="5"/>
              <w:jc w:val="left"/>
              <w:rPr>
                <w:rFonts w:ascii="Calibri" w:hAnsi="Calibri" w:cs="Calibri" w:asciiTheme="minorHAnsi" w:cstheme="minorHAnsi" w:hAnsiTheme="minorHAnsi"/>
                <w:sz w:val="22"/>
              </w:rPr>
            </w:pPr>
            <w:r>
              <w:rPr>
                <w:rFonts w:cs="Calibri" w:ascii="Calibri" w:hAnsi="Calibri" w:asciiTheme="minorHAnsi" w:cstheme="minorHAnsi" w:hAnsiTheme="minorHAnsi"/>
                <w:b/>
                <w:bCs/>
                <w:kern w:val="0"/>
                <w:sz w:val="22"/>
                <w:szCs w:val="22"/>
                <w:lang w:val="en-CA" w:eastAsia="en-US" w:bidi="ar-SA"/>
              </w:rPr>
              <w:t>Date</w:t>
            </w:r>
          </w:p>
        </w:tc>
        <w:tc>
          <w:tcPr>
            <w:tcW w:w="1712" w:type="dxa"/>
            <w:tcBorders>
              <w:top w:val="single" w:sz="4" w:space="0" w:color="44546A"/>
              <w:left w:val="single" w:sz="4" w:space="0" w:color="44546A"/>
              <w:bottom w:val="single" w:sz="4" w:space="0" w:color="44546A"/>
              <w:right w:val="single" w:sz="4" w:space="0" w:color="44546A"/>
            </w:tcBorders>
            <w:shd w:color="auto" w:fill="5B9BD5" w:themeFill="accent1" w:val="clear"/>
          </w:tcPr>
          <w:p>
            <w:pPr>
              <w:pStyle w:val="Normal"/>
              <w:widowControl w:val="false"/>
              <w:suppressAutoHyphens w:val="true"/>
              <w:spacing w:before="0" w:after="5"/>
              <w:jc w:val="left"/>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b/>
                <w:bCs/>
                <w:kern w:val="0"/>
                <w:sz w:val="22"/>
                <w:szCs w:val="22"/>
                <w:lang w:val="en-CA" w:eastAsia="en-US" w:bidi="ar-SA"/>
              </w:rPr>
              <w:t>Version</w:t>
            </w:r>
          </w:p>
        </w:tc>
        <w:tc>
          <w:tcPr>
            <w:tcW w:w="3041" w:type="dxa"/>
            <w:tcBorders>
              <w:top w:val="single" w:sz="4" w:space="0" w:color="44546A"/>
              <w:left w:val="single" w:sz="4" w:space="0" w:color="44546A"/>
              <w:bottom w:val="single" w:sz="4" w:space="0" w:color="44546A"/>
              <w:right w:val="single" w:sz="4" w:space="0" w:color="44546A"/>
            </w:tcBorders>
            <w:shd w:color="auto" w:fill="5B9BD5" w:themeFill="accent1" w:val="clear"/>
          </w:tcPr>
          <w:p>
            <w:pPr>
              <w:pStyle w:val="Normal"/>
              <w:widowControl w:val="false"/>
              <w:suppressAutoHyphens w:val="true"/>
              <w:spacing w:before="0" w:after="5"/>
              <w:jc w:val="left"/>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b/>
                <w:bCs/>
                <w:kern w:val="0"/>
                <w:sz w:val="22"/>
                <w:szCs w:val="22"/>
                <w:lang w:val="en-CA" w:eastAsia="en-US" w:bidi="ar-SA"/>
              </w:rPr>
              <w:t>Modification</w:t>
            </w:r>
          </w:p>
        </w:tc>
        <w:tc>
          <w:tcPr>
            <w:tcW w:w="2263" w:type="dxa"/>
            <w:tcBorders>
              <w:top w:val="single" w:sz="4" w:space="0" w:color="44546A"/>
              <w:left w:val="single" w:sz="4" w:space="0" w:color="44546A"/>
              <w:bottom w:val="single" w:sz="4" w:space="0" w:color="44546A"/>
              <w:right w:val="single" w:sz="4" w:space="0" w:color="44546A"/>
            </w:tcBorders>
            <w:shd w:color="auto" w:fill="5B9BD5" w:themeFill="accent1" w:val="clear"/>
          </w:tcPr>
          <w:p>
            <w:pPr>
              <w:pStyle w:val="Normal"/>
              <w:widowControl w:val="false"/>
              <w:suppressAutoHyphens w:val="true"/>
              <w:spacing w:before="0" w:after="5"/>
              <w:jc w:val="left"/>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b/>
                <w:bCs/>
                <w:kern w:val="0"/>
                <w:sz w:val="22"/>
                <w:szCs w:val="22"/>
                <w:lang w:val="en-CA" w:eastAsia="en-US" w:bidi="ar-SA"/>
              </w:rPr>
              <w:t>Modifier</w:t>
            </w:r>
          </w:p>
        </w:tc>
      </w:tr>
      <w:tr>
        <w:trPr>
          <w:trHeight w:val="267" w:hRule="atLeast"/>
          <w:cnfStyle w:val="000000100000" w:firstRow="0" w:lastRow="0" w:firstColumn="0" w:lastColumn="0" w:oddVBand="0" w:evenVBand="0" w:oddHBand="1" w:evenHBand="0" w:firstRowFirstColumn="0" w:firstRowLastColumn="0" w:lastRowFirstColumn="0" w:lastRowLastColumn="0"/>
        </w:trPr>
        <w:tc>
          <w:tcPr>
            <w:tcW w:w="206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5"/>
              <w:jc w:val="left"/>
              <w:rPr>
                <w:rFonts w:ascii="Calibri" w:hAnsi="Calibri" w:cs="Calibri" w:asciiTheme="minorHAnsi" w:cstheme="minorHAnsi" w:hAnsiTheme="minorHAnsi"/>
                <w:b w:val="false"/>
                <w:b w:val="false"/>
                <w:sz w:val="22"/>
              </w:rPr>
            </w:pPr>
            <w:r>
              <w:rPr>
                <w:rFonts w:cs="Calibri" w:ascii="Calibri" w:hAnsi="Calibri" w:asciiTheme="minorHAnsi" w:cstheme="minorHAnsi" w:hAnsiTheme="minorHAnsi"/>
                <w:b w:val="false"/>
                <w:bCs/>
                <w:kern w:val="0"/>
                <w:sz w:val="22"/>
                <w:szCs w:val="22"/>
                <w:lang w:val="en-CA" w:eastAsia="en-US" w:bidi="ar-SA"/>
              </w:rPr>
              <w:t>01/08/2017</w:t>
            </w:r>
          </w:p>
        </w:tc>
        <w:tc>
          <w:tcPr>
            <w:tcW w:w="1712" w:type="dxa"/>
            <w:tcBorders/>
          </w:tcPr>
          <w:p>
            <w:pPr>
              <w:pStyle w:val="Normal"/>
              <w:widowControl w:val="false"/>
              <w:suppressAutoHyphens w:val="true"/>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kern w:val="0"/>
                <w:sz w:val="22"/>
                <w:szCs w:val="22"/>
                <w:lang w:val="en-CA" w:eastAsia="en-US" w:bidi="ar-SA"/>
              </w:rPr>
              <w:t>1.0</w:t>
            </w:r>
          </w:p>
        </w:tc>
        <w:tc>
          <w:tcPr>
            <w:tcW w:w="3041" w:type="dxa"/>
            <w:tcBorders/>
          </w:tcPr>
          <w:p>
            <w:pPr>
              <w:pStyle w:val="Normal"/>
              <w:widowControl w:val="false"/>
              <w:suppressAutoHyphens w:val="true"/>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kern w:val="0"/>
                <w:sz w:val="22"/>
                <w:szCs w:val="22"/>
                <w:lang w:val="en-CA" w:eastAsia="en-US" w:bidi="ar-SA"/>
              </w:rPr>
              <w:t>Plan created</w:t>
            </w:r>
          </w:p>
        </w:tc>
        <w:tc>
          <w:tcPr>
            <w:tcW w:w="2263" w:type="dxa"/>
            <w:tcBorders/>
          </w:tcPr>
          <w:p>
            <w:pPr>
              <w:pStyle w:val="Normal"/>
              <w:widowControl w:val="false"/>
              <w:suppressAutoHyphens w:val="true"/>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kern w:val="0"/>
                <w:sz w:val="22"/>
                <w:szCs w:val="22"/>
                <w:lang w:val="en-CA" w:eastAsia="en-US" w:bidi="ar-SA"/>
              </w:rPr>
            </w:r>
          </w:p>
        </w:tc>
      </w:tr>
      <w:tr>
        <w:trPr>
          <w:trHeight w:val="267" w:hRule="atLeast"/>
        </w:trPr>
        <w:tc>
          <w:tcPr>
            <w:tcW w:w="2065" w:type="dxa"/>
            <w:cnfStyle w:val="001000000000" w:firstRow="0" w:lastRow="0" w:firstColumn="1" w:lastColumn="0" w:oddVBand="0" w:evenVBand="0" w:oddHBand="0" w:evenHBand="0" w:firstRowFirstColumn="0" w:firstRowLastColumn="0" w:lastRowFirstColumn="0" w:lastRowLastColumn="0"/>
            <w:tcBorders>
              <w:top w:val="single" w:sz="4" w:space="0" w:color="44546A"/>
              <w:left w:val="single" w:sz="4" w:space="0" w:color="44546A"/>
              <w:bottom w:val="single" w:sz="4" w:space="0" w:color="44546A"/>
              <w:right w:val="single" w:sz="4" w:space="0" w:color="44546A"/>
            </w:tcBorders>
          </w:tcPr>
          <w:p>
            <w:pPr>
              <w:pStyle w:val="Normal"/>
              <w:widowControl w:val="false"/>
              <w:suppressAutoHyphens w:val="true"/>
              <w:spacing w:before="0" w:after="5"/>
              <w:jc w:val="left"/>
              <w:rPr>
                <w:rFonts w:ascii="Calibri" w:hAnsi="Calibri" w:cs="Calibri" w:asciiTheme="minorHAnsi" w:cstheme="minorHAnsi" w:hAnsiTheme="minorHAnsi"/>
                <w:b w:val="false"/>
                <w:b w:val="false"/>
                <w:sz w:val="22"/>
              </w:rPr>
            </w:pPr>
            <w:r>
              <w:rPr>
                <w:rFonts w:cs="Calibri" w:ascii="Calibri" w:hAnsi="Calibri" w:asciiTheme="minorHAnsi" w:cstheme="minorHAnsi" w:hAnsiTheme="minorHAnsi"/>
                <w:b w:val="false"/>
                <w:bCs/>
                <w:kern w:val="0"/>
                <w:sz w:val="22"/>
                <w:szCs w:val="22"/>
                <w:lang w:val="en-CA" w:eastAsia="en-US" w:bidi="ar-SA"/>
              </w:rPr>
              <w:t>24/06/2023</w:t>
            </w:r>
          </w:p>
        </w:tc>
        <w:tc>
          <w:tcPr>
            <w:tcW w:w="1712" w:type="dxa"/>
            <w:tcBorders>
              <w:top w:val="single" w:sz="4" w:space="0" w:color="44546A"/>
              <w:left w:val="single" w:sz="4" w:space="0" w:color="44546A"/>
              <w:bottom w:val="single" w:sz="4" w:space="0" w:color="44546A"/>
              <w:right w:val="single" w:sz="4" w:space="0" w:color="44546A"/>
            </w:tcBorders>
          </w:tcPr>
          <w:p>
            <w:pPr>
              <w:pStyle w:val="Normal"/>
              <w:widowControl w:val="false"/>
              <w:suppressAutoHyphens w:val="true"/>
              <w:spacing w:before="0" w:after="5"/>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kern w:val="0"/>
                <w:sz w:val="22"/>
                <w:szCs w:val="22"/>
                <w:lang w:val="en-CA" w:eastAsia="en-US" w:bidi="ar-SA"/>
              </w:rPr>
              <w:t>2.0</w:t>
            </w:r>
          </w:p>
        </w:tc>
        <w:tc>
          <w:tcPr>
            <w:tcW w:w="3041" w:type="dxa"/>
            <w:tcBorders>
              <w:top w:val="single" w:sz="4" w:space="0" w:color="44546A"/>
              <w:left w:val="single" w:sz="4" w:space="0" w:color="44546A"/>
              <w:bottom w:val="single" w:sz="4" w:space="0" w:color="44546A"/>
              <w:right w:val="single" w:sz="4" w:space="0" w:color="44546A"/>
            </w:tcBorders>
          </w:tcPr>
          <w:p>
            <w:pPr>
              <w:pStyle w:val="Normal"/>
              <w:widowControl w:val="false"/>
              <w:suppressAutoHyphens w:val="true"/>
              <w:spacing w:before="0" w:after="5"/>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kern w:val="0"/>
                <w:sz w:val="22"/>
                <w:szCs w:val="22"/>
                <w:lang w:val="en-CA" w:eastAsia="en-US" w:bidi="ar-SA"/>
              </w:rPr>
              <w:t>Updated</w:t>
            </w:r>
          </w:p>
        </w:tc>
        <w:tc>
          <w:tcPr>
            <w:tcW w:w="2263" w:type="dxa"/>
            <w:tcBorders>
              <w:top w:val="single" w:sz="4" w:space="0" w:color="44546A"/>
              <w:left w:val="single" w:sz="4" w:space="0" w:color="44546A"/>
              <w:bottom w:val="single" w:sz="4" w:space="0" w:color="44546A"/>
              <w:right w:val="single" w:sz="4" w:space="0" w:color="44546A"/>
            </w:tcBorders>
          </w:tcPr>
          <w:p>
            <w:pPr>
              <w:pStyle w:val="Normal"/>
              <w:widowControl w:val="false"/>
              <w:suppressAutoHyphens w:val="true"/>
              <w:spacing w:before="0" w:after="5"/>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kern w:val="0"/>
                <w:sz w:val="22"/>
                <w:szCs w:val="22"/>
                <w:lang w:val="en-CA" w:eastAsia="en-US" w:bidi="ar-SA"/>
              </w:rPr>
              <w:t>Brayden, Dylan, Muzamill and Syed</w:t>
            </w:r>
          </w:p>
        </w:tc>
      </w:tr>
      <w:tr>
        <w:trPr>
          <w:trHeight w:val="267" w:hRule="atLeast"/>
          <w:cnfStyle w:val="000000100000" w:firstRow="0" w:lastRow="0" w:firstColumn="0" w:lastColumn="0" w:oddVBand="0" w:evenVBand="0" w:oddHBand="1" w:evenHBand="0" w:firstRowFirstColumn="0" w:firstRowLastColumn="0" w:lastRowFirstColumn="0" w:lastRowLastColumn="0"/>
        </w:trPr>
        <w:tc>
          <w:tcPr>
            <w:tcW w:w="206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5"/>
              <w:jc w:val="left"/>
              <w:rPr>
                <w:rFonts w:ascii="Calibri" w:hAnsi="Calibri" w:cs="Calibri" w:asciiTheme="minorHAnsi" w:cstheme="minorHAnsi" w:hAnsiTheme="minorHAnsi"/>
                <w:b w:val="false"/>
                <w:b w:val="false"/>
                <w:sz w:val="22"/>
              </w:rPr>
            </w:pPr>
            <w:r>
              <w:rPr>
                <w:rFonts w:cs="Calibri" w:ascii="Calibri" w:hAnsi="Calibri" w:asciiTheme="minorHAnsi" w:cstheme="minorHAnsi" w:hAnsiTheme="minorHAnsi"/>
                <w:b w:val="false"/>
                <w:bCs/>
                <w:kern w:val="0"/>
                <w:sz w:val="22"/>
                <w:szCs w:val="22"/>
                <w:lang w:val="en-CA" w:eastAsia="en-US" w:bidi="ar-SA"/>
              </w:rPr>
              <w:t>31/06/2023</w:t>
            </w:r>
          </w:p>
        </w:tc>
        <w:tc>
          <w:tcPr>
            <w:tcW w:w="1712" w:type="dxa"/>
            <w:tcBorders/>
          </w:tcPr>
          <w:p>
            <w:pPr>
              <w:pStyle w:val="Normal"/>
              <w:widowControl w:val="false"/>
              <w:suppressAutoHyphens w:val="true"/>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kern w:val="0"/>
                <w:sz w:val="22"/>
                <w:szCs w:val="22"/>
                <w:lang w:val="en-CA" w:eastAsia="en-US" w:bidi="ar-SA"/>
              </w:rPr>
              <w:t>2.1</w:t>
            </w:r>
          </w:p>
        </w:tc>
        <w:tc>
          <w:tcPr>
            <w:tcW w:w="3041" w:type="dxa"/>
            <w:tcBorders/>
          </w:tcPr>
          <w:p>
            <w:pPr>
              <w:pStyle w:val="Normal"/>
              <w:widowControl w:val="false"/>
              <w:suppressAutoHyphens w:val="true"/>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kern w:val="0"/>
                <w:sz w:val="22"/>
                <w:szCs w:val="22"/>
                <w:lang w:val="en-CA" w:eastAsia="en-US" w:bidi="ar-SA"/>
              </w:rPr>
              <w:t>Updated</w:t>
            </w:r>
          </w:p>
        </w:tc>
        <w:tc>
          <w:tcPr>
            <w:tcW w:w="2263" w:type="dxa"/>
            <w:tcBorders/>
          </w:tcPr>
          <w:p>
            <w:pPr>
              <w:pStyle w:val="Normal"/>
              <w:widowControl w:val="false"/>
              <w:suppressAutoHyphens w:val="true"/>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ascii="Calibri" w:hAnsi="Calibri" w:asciiTheme="minorHAnsi" w:cstheme="minorHAnsi" w:hAnsiTheme="minorHAnsi"/>
                <w:kern w:val="0"/>
                <w:sz w:val="22"/>
                <w:szCs w:val="22"/>
                <w:lang w:val="en-CA" w:eastAsia="en-US" w:bidi="ar-SA"/>
              </w:rPr>
              <w:t>Elan Sithirasenan</w:t>
            </w:r>
          </w:p>
        </w:tc>
      </w:tr>
      <w:tr>
        <w:trPr>
          <w:trHeight w:val="267" w:hRule="atLeast"/>
        </w:trPr>
        <w:tc>
          <w:tcPr>
            <w:tcW w:w="2065" w:type="dxa"/>
            <w:cnfStyle w:val="001000000000" w:firstRow="0" w:lastRow="0" w:firstColumn="1" w:lastColumn="0" w:oddVBand="0" w:evenVBand="0" w:oddHBand="0" w:evenHBand="0" w:firstRowFirstColumn="0" w:firstRowLastColumn="0" w:lastRowFirstColumn="0" w:lastRowLastColumn="0"/>
            <w:tcBorders>
              <w:top w:val="single" w:sz="4" w:space="0" w:color="44546A"/>
              <w:left w:val="single" w:sz="4" w:space="0" w:color="44546A"/>
              <w:bottom w:val="single" w:sz="4" w:space="0" w:color="44546A"/>
              <w:right w:val="single" w:sz="4" w:space="0" w:color="44546A"/>
            </w:tcBorders>
          </w:tcPr>
          <w:p>
            <w:pPr>
              <w:pStyle w:val="Normal"/>
              <w:widowControl w:val="false"/>
              <w:suppressAutoHyphens w:val="true"/>
              <w:spacing w:before="0" w:after="5"/>
              <w:jc w:val="left"/>
              <w:rPr>
                <w:rFonts w:ascii="Calibri" w:hAnsi="Calibri" w:cs="Calibri" w:asciiTheme="minorHAnsi" w:cstheme="minorHAnsi" w:hAnsiTheme="minorHAnsi"/>
                <w:b w:val="false"/>
                <w:b w:val="false"/>
                <w:sz w:val="22"/>
              </w:rPr>
            </w:pPr>
            <w:r>
              <w:rPr>
                <w:rFonts w:cs="Calibri" w:cstheme="minorHAnsi" w:ascii="Calibri" w:hAnsi="Calibri"/>
                <w:b/>
                <w:bCs/>
                <w:kern w:val="0"/>
                <w:sz w:val="22"/>
                <w:szCs w:val="22"/>
                <w:lang w:val="en-CA" w:eastAsia="en-US" w:bidi="ar-SA"/>
              </w:rPr>
            </w:r>
          </w:p>
        </w:tc>
        <w:tc>
          <w:tcPr>
            <w:tcW w:w="1712" w:type="dxa"/>
            <w:tcBorders>
              <w:top w:val="single" w:sz="4" w:space="0" w:color="44546A"/>
              <w:left w:val="single" w:sz="4" w:space="0" w:color="44546A"/>
              <w:bottom w:val="single" w:sz="4" w:space="0" w:color="44546A"/>
              <w:right w:val="single" w:sz="4" w:space="0" w:color="44546A"/>
            </w:tcBorders>
          </w:tcPr>
          <w:p>
            <w:pPr>
              <w:pStyle w:val="Normal"/>
              <w:widowControl w:val="false"/>
              <w:suppressAutoHyphens w:val="true"/>
              <w:spacing w:before="0" w:after="5"/>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kern w:val="0"/>
                <w:sz w:val="22"/>
                <w:szCs w:val="22"/>
                <w:lang w:val="en-CA" w:eastAsia="en-US" w:bidi="ar-SA"/>
              </w:rPr>
            </w:r>
          </w:p>
        </w:tc>
        <w:tc>
          <w:tcPr>
            <w:tcW w:w="3041" w:type="dxa"/>
            <w:tcBorders>
              <w:top w:val="single" w:sz="4" w:space="0" w:color="44546A"/>
              <w:left w:val="single" w:sz="4" w:space="0" w:color="44546A"/>
              <w:bottom w:val="single" w:sz="4" w:space="0" w:color="44546A"/>
              <w:right w:val="single" w:sz="4" w:space="0" w:color="44546A"/>
            </w:tcBorders>
          </w:tcPr>
          <w:p>
            <w:pPr>
              <w:pStyle w:val="Normal"/>
              <w:widowControl w:val="false"/>
              <w:suppressAutoHyphens w:val="true"/>
              <w:spacing w:before="0" w:after="5"/>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kern w:val="0"/>
                <w:sz w:val="22"/>
                <w:szCs w:val="22"/>
                <w:lang w:val="en-CA" w:eastAsia="en-US" w:bidi="ar-SA"/>
              </w:rPr>
            </w:r>
          </w:p>
        </w:tc>
        <w:tc>
          <w:tcPr>
            <w:tcW w:w="2263" w:type="dxa"/>
            <w:tcBorders>
              <w:top w:val="single" w:sz="4" w:space="0" w:color="44546A"/>
              <w:left w:val="single" w:sz="4" w:space="0" w:color="44546A"/>
              <w:bottom w:val="single" w:sz="4" w:space="0" w:color="44546A"/>
              <w:right w:val="single" w:sz="4" w:space="0" w:color="44546A"/>
            </w:tcBorders>
          </w:tcPr>
          <w:p>
            <w:pPr>
              <w:pStyle w:val="Normal"/>
              <w:widowControl w:val="false"/>
              <w:suppressAutoHyphens w:val="true"/>
              <w:spacing w:before="0" w:after="5"/>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kern w:val="0"/>
                <w:sz w:val="22"/>
                <w:szCs w:val="22"/>
                <w:lang w:val="en-CA" w:eastAsia="en-US" w:bidi="ar-SA"/>
              </w:rPr>
            </w:r>
          </w:p>
        </w:tc>
      </w:tr>
      <w:tr>
        <w:trPr>
          <w:trHeight w:val="267" w:hRule="atLeast"/>
          <w:cnfStyle w:val="000000100000" w:firstRow="0" w:lastRow="0" w:firstColumn="0" w:lastColumn="0" w:oddVBand="0" w:evenVBand="0" w:oddHBand="1" w:evenHBand="0" w:firstRowFirstColumn="0" w:firstRowLastColumn="0" w:lastRowFirstColumn="0" w:lastRowLastColumn="0"/>
        </w:trPr>
        <w:tc>
          <w:tcPr>
            <w:tcW w:w="206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5"/>
              <w:jc w:val="left"/>
              <w:rPr>
                <w:rFonts w:ascii="Calibri" w:hAnsi="Calibri" w:cs="Calibri" w:asciiTheme="minorHAnsi" w:cstheme="minorHAnsi" w:hAnsiTheme="minorHAnsi"/>
                <w:b w:val="false"/>
                <w:b w:val="false"/>
                <w:sz w:val="22"/>
              </w:rPr>
            </w:pPr>
            <w:r>
              <w:rPr>
                <w:rFonts w:cs="Calibri" w:cstheme="minorHAnsi" w:ascii="Calibri" w:hAnsi="Calibri"/>
                <w:b/>
                <w:bCs/>
                <w:kern w:val="0"/>
                <w:sz w:val="22"/>
                <w:szCs w:val="22"/>
                <w:lang w:val="en-CA" w:eastAsia="en-US" w:bidi="ar-SA"/>
              </w:rPr>
            </w:r>
          </w:p>
        </w:tc>
        <w:tc>
          <w:tcPr>
            <w:tcW w:w="1712" w:type="dxa"/>
            <w:tcBorders/>
          </w:tcPr>
          <w:p>
            <w:pPr>
              <w:pStyle w:val="Normal"/>
              <w:widowControl w:val="false"/>
              <w:suppressAutoHyphens w:val="true"/>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kern w:val="0"/>
                <w:sz w:val="22"/>
                <w:szCs w:val="22"/>
                <w:lang w:val="en-CA" w:eastAsia="en-US" w:bidi="ar-SA"/>
              </w:rPr>
            </w:r>
          </w:p>
        </w:tc>
        <w:tc>
          <w:tcPr>
            <w:tcW w:w="3041" w:type="dxa"/>
            <w:tcBorders/>
          </w:tcPr>
          <w:p>
            <w:pPr>
              <w:pStyle w:val="Normal"/>
              <w:widowControl w:val="false"/>
              <w:suppressAutoHyphens w:val="true"/>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kern w:val="0"/>
                <w:sz w:val="22"/>
                <w:szCs w:val="22"/>
                <w:lang w:val="en-CA" w:eastAsia="en-US" w:bidi="ar-SA"/>
              </w:rPr>
            </w:r>
          </w:p>
        </w:tc>
        <w:tc>
          <w:tcPr>
            <w:tcW w:w="2263" w:type="dxa"/>
            <w:tcBorders/>
          </w:tcPr>
          <w:p>
            <w:pPr>
              <w:pStyle w:val="Normal"/>
              <w:widowControl w:val="false"/>
              <w:suppressAutoHyphens w:val="true"/>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kern w:val="0"/>
                <w:sz w:val="22"/>
                <w:szCs w:val="22"/>
                <w:lang w:val="en-CA" w:eastAsia="en-US" w:bidi="ar-SA"/>
              </w:rPr>
            </w:r>
          </w:p>
        </w:tc>
      </w:tr>
      <w:tr>
        <w:trPr>
          <w:trHeight w:val="267" w:hRule="atLeast"/>
        </w:trPr>
        <w:tc>
          <w:tcPr>
            <w:tcW w:w="2065" w:type="dxa"/>
            <w:cnfStyle w:val="001000000000" w:firstRow="0" w:lastRow="0" w:firstColumn="1" w:lastColumn="0" w:oddVBand="0" w:evenVBand="0" w:oddHBand="0" w:evenHBand="0" w:firstRowFirstColumn="0" w:firstRowLastColumn="0" w:lastRowFirstColumn="0" w:lastRowLastColumn="0"/>
            <w:tcBorders>
              <w:top w:val="single" w:sz="4" w:space="0" w:color="44546A"/>
              <w:left w:val="single" w:sz="4" w:space="0" w:color="44546A"/>
              <w:bottom w:val="single" w:sz="4" w:space="0" w:color="44546A"/>
              <w:right w:val="single" w:sz="4" w:space="0" w:color="44546A"/>
            </w:tcBorders>
          </w:tcPr>
          <w:p>
            <w:pPr>
              <w:pStyle w:val="Normal"/>
              <w:widowControl w:val="false"/>
              <w:suppressAutoHyphens w:val="true"/>
              <w:spacing w:before="0" w:after="5"/>
              <w:jc w:val="left"/>
              <w:rPr>
                <w:rFonts w:ascii="Calibri" w:hAnsi="Calibri" w:cs="Calibri" w:asciiTheme="minorHAnsi" w:cstheme="minorHAnsi" w:hAnsiTheme="minorHAnsi"/>
                <w:b w:val="false"/>
                <w:b w:val="false"/>
                <w:sz w:val="22"/>
              </w:rPr>
            </w:pPr>
            <w:r>
              <w:rPr>
                <w:rFonts w:cs="Calibri" w:cstheme="minorHAnsi" w:ascii="Calibri" w:hAnsi="Calibri"/>
                <w:b/>
                <w:bCs/>
                <w:kern w:val="0"/>
                <w:sz w:val="22"/>
                <w:szCs w:val="22"/>
                <w:lang w:val="en-CA" w:eastAsia="en-US" w:bidi="ar-SA"/>
              </w:rPr>
            </w:r>
          </w:p>
        </w:tc>
        <w:tc>
          <w:tcPr>
            <w:tcW w:w="1712" w:type="dxa"/>
            <w:tcBorders>
              <w:top w:val="single" w:sz="4" w:space="0" w:color="44546A"/>
              <w:left w:val="single" w:sz="4" w:space="0" w:color="44546A"/>
              <w:bottom w:val="single" w:sz="4" w:space="0" w:color="44546A"/>
              <w:right w:val="single" w:sz="4" w:space="0" w:color="44546A"/>
            </w:tcBorders>
          </w:tcPr>
          <w:p>
            <w:pPr>
              <w:pStyle w:val="Normal"/>
              <w:widowControl w:val="false"/>
              <w:suppressAutoHyphens w:val="true"/>
              <w:spacing w:before="0" w:after="5"/>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kern w:val="0"/>
                <w:sz w:val="22"/>
                <w:szCs w:val="22"/>
                <w:lang w:val="en-CA" w:eastAsia="en-US" w:bidi="ar-SA"/>
              </w:rPr>
            </w:r>
          </w:p>
        </w:tc>
        <w:tc>
          <w:tcPr>
            <w:tcW w:w="3041" w:type="dxa"/>
            <w:tcBorders>
              <w:top w:val="single" w:sz="4" w:space="0" w:color="44546A"/>
              <w:left w:val="single" w:sz="4" w:space="0" w:color="44546A"/>
              <w:bottom w:val="single" w:sz="4" w:space="0" w:color="44546A"/>
              <w:right w:val="single" w:sz="4" w:space="0" w:color="44546A"/>
            </w:tcBorders>
          </w:tcPr>
          <w:p>
            <w:pPr>
              <w:pStyle w:val="Normal"/>
              <w:widowControl w:val="false"/>
              <w:suppressAutoHyphens w:val="true"/>
              <w:spacing w:before="0" w:after="5"/>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kern w:val="0"/>
                <w:sz w:val="22"/>
                <w:szCs w:val="22"/>
                <w:lang w:val="en-CA" w:eastAsia="en-US" w:bidi="ar-SA"/>
              </w:rPr>
            </w:r>
          </w:p>
        </w:tc>
        <w:tc>
          <w:tcPr>
            <w:tcW w:w="2263" w:type="dxa"/>
            <w:tcBorders>
              <w:top w:val="single" w:sz="4" w:space="0" w:color="44546A"/>
              <w:left w:val="single" w:sz="4" w:space="0" w:color="44546A"/>
              <w:bottom w:val="single" w:sz="4" w:space="0" w:color="44546A"/>
              <w:right w:val="single" w:sz="4" w:space="0" w:color="44546A"/>
            </w:tcBorders>
          </w:tcPr>
          <w:p>
            <w:pPr>
              <w:pStyle w:val="Normal"/>
              <w:widowControl w:val="false"/>
              <w:suppressAutoHyphens w:val="true"/>
              <w:spacing w:before="0" w:after="5"/>
              <w:jc w:val="left"/>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kern w:val="0"/>
                <w:sz w:val="22"/>
                <w:szCs w:val="22"/>
                <w:lang w:val="en-CA" w:eastAsia="en-US" w:bidi="ar-SA"/>
              </w:rPr>
            </w:r>
          </w:p>
        </w:tc>
      </w:tr>
      <w:tr>
        <w:trPr>
          <w:trHeight w:val="267" w:hRule="atLeast"/>
          <w:cnfStyle w:val="000000100000" w:firstRow="0" w:lastRow="0" w:firstColumn="0" w:lastColumn="0" w:oddVBand="0" w:evenVBand="0" w:oddHBand="1" w:evenHBand="0" w:firstRowFirstColumn="0" w:firstRowLastColumn="0" w:lastRowFirstColumn="0" w:lastRowLastColumn="0"/>
        </w:trPr>
        <w:tc>
          <w:tcPr>
            <w:tcW w:w="206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5"/>
              <w:jc w:val="left"/>
              <w:rPr>
                <w:rFonts w:ascii="Calibri" w:hAnsi="Calibri" w:cs="Calibri" w:asciiTheme="minorHAnsi" w:cstheme="minorHAnsi" w:hAnsiTheme="minorHAnsi"/>
                <w:b w:val="false"/>
                <w:b w:val="false"/>
                <w:sz w:val="22"/>
              </w:rPr>
            </w:pPr>
            <w:r>
              <w:rPr>
                <w:rFonts w:cs="Calibri" w:cstheme="minorHAnsi" w:ascii="Calibri" w:hAnsi="Calibri"/>
                <w:b/>
                <w:bCs/>
                <w:kern w:val="0"/>
                <w:sz w:val="22"/>
                <w:szCs w:val="22"/>
                <w:lang w:val="en-CA" w:eastAsia="en-US" w:bidi="ar-SA"/>
              </w:rPr>
            </w:r>
          </w:p>
        </w:tc>
        <w:tc>
          <w:tcPr>
            <w:tcW w:w="1712" w:type="dxa"/>
            <w:tcBorders/>
          </w:tcPr>
          <w:p>
            <w:pPr>
              <w:pStyle w:val="Normal"/>
              <w:widowControl w:val="false"/>
              <w:suppressAutoHyphens w:val="true"/>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kern w:val="0"/>
                <w:sz w:val="22"/>
                <w:szCs w:val="22"/>
                <w:lang w:val="en-CA" w:eastAsia="en-US" w:bidi="ar-SA"/>
              </w:rPr>
            </w:r>
          </w:p>
        </w:tc>
        <w:tc>
          <w:tcPr>
            <w:tcW w:w="3041" w:type="dxa"/>
            <w:tcBorders/>
          </w:tcPr>
          <w:p>
            <w:pPr>
              <w:pStyle w:val="Normal"/>
              <w:widowControl w:val="false"/>
              <w:suppressAutoHyphens w:val="true"/>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kern w:val="0"/>
                <w:sz w:val="22"/>
                <w:szCs w:val="22"/>
                <w:lang w:val="en-CA" w:eastAsia="en-US" w:bidi="ar-SA"/>
              </w:rPr>
            </w:r>
          </w:p>
        </w:tc>
        <w:tc>
          <w:tcPr>
            <w:tcW w:w="2263" w:type="dxa"/>
            <w:tcBorders/>
          </w:tcPr>
          <w:p>
            <w:pPr>
              <w:pStyle w:val="Normal"/>
              <w:widowControl w:val="false"/>
              <w:suppressAutoHyphens w:val="true"/>
              <w:spacing w:before="0" w:after="5"/>
              <w:jc w:val="left"/>
              <w:cnfStyle w:val="000000100000" w:firstRow="0" w:lastRow="0" w:firstColumn="0" w:lastColumn="0" w:oddVBand="0" w:evenVBand="0" w:oddHBand="1" w:evenHBand="0" w:firstRowFirstColumn="0" w:firstRowLastColumn="0" w:lastRowFirstColumn="0" w:lastRowLastColumn="0"/>
              <w:rPr>
                <w:rFonts w:ascii="Calibri" w:hAnsi="Calibri" w:cs="Calibri" w:asciiTheme="minorHAnsi" w:cstheme="minorHAnsi" w:hAnsiTheme="minorHAnsi"/>
                <w:sz w:val="22"/>
              </w:rPr>
            </w:pPr>
            <w:r>
              <w:rPr>
                <w:rFonts w:cs="Calibri" w:cstheme="minorHAnsi" w:ascii="Calibri" w:hAnsi="Calibri"/>
                <w:kern w:val="0"/>
                <w:sz w:val="22"/>
                <w:szCs w:val="22"/>
                <w:lang w:val="en-CA" w:eastAsia="en-US" w:bidi="ar-SA"/>
              </w:rPr>
            </w:r>
          </w:p>
        </w:tc>
      </w:tr>
    </w:tbl>
    <w:p>
      <w:pPr>
        <w:pStyle w:val="Normal"/>
        <w:rPr/>
      </w:pPr>
      <w:r>
        <w:rPr/>
      </w:r>
    </w:p>
    <w:p>
      <w:pPr>
        <w:pStyle w:val="Normal"/>
        <w:spacing w:lineRule="auto" w:line="259" w:before="0" w:after="160"/>
        <w:ind w:left="0" w:right="0" w:hanging="0"/>
        <w:rPr/>
      </w:pPr>
      <w:r>
        <w:rPr/>
      </w:r>
      <w:r>
        <w:br w:type="page"/>
      </w:r>
    </w:p>
    <w:p>
      <w:pPr>
        <w:pStyle w:val="Heading1"/>
        <w:rPr/>
      </w:pPr>
      <w:r>
        <w:rPr/>
        <w:t xml:space="preserve">INTRODUCTION </w:t>
      </w:r>
    </w:p>
    <w:p>
      <w:pPr>
        <w:pStyle w:val="Normal"/>
        <w:spacing w:lineRule="auto" w:line="259" w:before="0" w:after="0"/>
        <w:ind w:left="720" w:right="0" w:hanging="0"/>
        <w:rPr/>
      </w:pPr>
      <w:r>
        <w:rPr>
          <w:b/>
          <w:sz w:val="32"/>
        </w:rPr>
        <w:t xml:space="preserve"> </w:t>
      </w:r>
    </w:p>
    <w:p>
      <w:pPr>
        <w:pStyle w:val="Heading2"/>
        <w:rPr/>
      </w:pPr>
      <w:r>
        <w:rPr/>
        <w:t xml:space="preserve">PURPOSE OF PROJECT CHARTER  </w:t>
      </w:r>
    </w:p>
    <w:p>
      <w:pPr>
        <w:pStyle w:val="Normal"/>
        <w:rPr/>
      </w:pPr>
      <w:r>
        <w:rPr/>
      </w:r>
    </w:p>
    <w:p>
      <w:pPr>
        <w:pStyle w:val="Normal"/>
        <w:spacing w:before="0" w:after="166"/>
        <w:ind w:left="715" w:right="65" w:hanging="10"/>
        <w:rPr>
          <w:color w:val="auto"/>
        </w:rPr>
      </w:pPr>
      <w:r>
        <w:rPr>
          <w:color w:val="auto"/>
        </w:rPr>
        <w:t>The Project Charter serves as a cornerstone document that lays the foundation for the successful execution of the incident response project at Black Sabre Response. Its primary purpose is to provide stakeholders with a comprehensive understanding of the project's objectives, scope, timeline, budget, and the roles and responsibilities of team members. By defining these critical aspects, the Project Charter facilitates effective planning, coordination, and communication throughout the project's lifecycle.</w:t>
      </w:r>
    </w:p>
    <w:p>
      <w:pPr>
        <w:pStyle w:val="Normal"/>
        <w:spacing w:before="0" w:after="166"/>
        <w:ind w:left="715" w:right="65" w:hanging="10"/>
        <w:rPr>
          <w:color w:val="auto"/>
        </w:rPr>
      </w:pPr>
      <w:r>
        <w:rPr>
          <w:color w:val="auto"/>
        </w:rPr>
      </w:r>
    </w:p>
    <w:p>
      <w:pPr>
        <w:pStyle w:val="Normal"/>
        <w:spacing w:before="0" w:after="166"/>
        <w:ind w:left="715" w:right="65" w:hanging="10"/>
        <w:rPr>
          <w:color w:val="auto"/>
        </w:rPr>
      </w:pPr>
      <w:r>
        <w:rPr>
          <w:color w:val="auto"/>
        </w:rPr>
        <w:t>The incident response project aims to address a crucial gap in Black Sabre Response's security infrastructure—the absence of an updated incident response plan. In light of recent cyber threats and emerging vulnerabilities, the newly appointed Chief Security Officer (CIO) recognized the need for a proactive and systematic approach to handle potential security incidents. As part of the strategy to enhance the organization's security posture, the CIO proposes the implementation of an incident response team exercise (IRTx).</w:t>
      </w:r>
    </w:p>
    <w:p>
      <w:pPr>
        <w:pStyle w:val="Normal"/>
        <w:spacing w:lineRule="auto" w:line="259" w:before="0" w:after="199"/>
        <w:ind w:left="720" w:right="0" w:hanging="0"/>
        <w:rPr>
          <w:color w:val="auto"/>
        </w:rPr>
      </w:pPr>
      <w:r>
        <w:rPr>
          <w:color w:val="auto"/>
        </w:rPr>
        <w:t xml:space="preserve"> </w:t>
      </w:r>
    </w:p>
    <w:p>
      <w:pPr>
        <w:pStyle w:val="Heading1"/>
        <w:rPr/>
      </w:pPr>
      <w:r>
        <w:rPr/>
        <w:t xml:space="preserve">2. PROJECT AND PRODUCT OVERVIEW </w:t>
      </w:r>
    </w:p>
    <w:p>
      <w:pPr>
        <w:pStyle w:val="Normal"/>
        <w:ind w:left="715" w:right="65" w:hanging="10"/>
        <w:rPr>
          <w:color w:val="auto"/>
        </w:rPr>
      </w:pPr>
      <w:r>
        <w:rPr>
          <w:color w:val="auto"/>
        </w:rPr>
        <w:t>Black Sabre Response, a reputable organization in the digital services industry, has been operating with a dedicated focus on client satisfaction and innovation. The recent security policy audit conducted by the CIO revealed a significant concern— Black Sabre Response's incident response plan is outdated and insufficient to address the evolving cybersecurity landscape. This vulnerability poses potential risks to the confidentiality, integrity, and availability of critical information and data assets.</w:t>
      </w:r>
    </w:p>
    <w:p>
      <w:pPr>
        <w:pStyle w:val="Normal"/>
        <w:ind w:left="715" w:right="65" w:hanging="10"/>
        <w:rPr>
          <w:color w:val="auto"/>
        </w:rPr>
      </w:pPr>
      <w:r>
        <w:rPr>
          <w:color w:val="auto"/>
        </w:rPr>
      </w:r>
    </w:p>
    <w:p>
      <w:pPr>
        <w:pStyle w:val="Normal"/>
        <w:ind w:left="715" w:right="65" w:hanging="10"/>
        <w:rPr>
          <w:color w:val="auto"/>
        </w:rPr>
      </w:pPr>
      <w:r>
        <w:rPr>
          <w:color w:val="auto"/>
        </w:rPr>
        <w:t>In response to these findings, the incident response project aims to introduce a comprehensive incident response plan and conduct an IRTx to assess its effectiveness. The incident response plan will outline the necessary actions, procedures, and communication protocols required to identify, contain, eradicate, and recover from security incidents effectively. It will encompass a wide range of potential scenarios, ensuring that Black Sabre Response's incident response capabilities are well-prepared for any eventuality.</w:t>
      </w:r>
    </w:p>
    <w:p>
      <w:pPr>
        <w:pStyle w:val="Normal"/>
        <w:ind w:left="715" w:right="65" w:hanging="10"/>
        <w:rPr>
          <w:color w:val="auto"/>
        </w:rPr>
      </w:pPr>
      <w:r>
        <w:rPr>
          <w:color w:val="auto"/>
        </w:rPr>
      </w:r>
    </w:p>
    <w:p>
      <w:pPr>
        <w:pStyle w:val="Normal"/>
        <w:ind w:left="715" w:right="65" w:hanging="10"/>
        <w:rPr>
          <w:color w:val="auto"/>
        </w:rPr>
      </w:pPr>
      <w:r>
        <w:rPr>
          <w:color w:val="auto"/>
        </w:rPr>
        <w:t>The IRTx, a simulated exercise, will allow the incident response team members to practice their roles, collaborate, and test the incident response plan in a controlled environment. By simulating various security incidents and crisis scenarios, the exercise will enable the team to identify strengths, weaknesses, and areas for improvement in the plan and their overall response capabilities.</w:t>
      </w:r>
    </w:p>
    <w:p>
      <w:pPr>
        <w:pStyle w:val="Normal"/>
        <w:spacing w:before="0" w:after="84"/>
        <w:ind w:left="720" w:right="8305" w:hanging="0"/>
        <w:rPr/>
      </w:pPr>
      <w:r>
        <w:rPr>
          <w:sz w:val="22"/>
        </w:rPr>
        <w:t xml:space="preserve"> </w:t>
      </w:r>
      <w:r>
        <w:rPr/>
        <w:t xml:space="preserve"> </w:t>
      </w:r>
    </w:p>
    <w:p>
      <w:pPr>
        <w:pStyle w:val="Heading1"/>
        <w:rPr/>
      </w:pPr>
      <w:r>
        <w:rPr/>
        <w:t xml:space="preserve">3. Justification </w:t>
      </w:r>
    </w:p>
    <w:p>
      <w:pPr>
        <w:pStyle w:val="Normal"/>
        <w:spacing w:before="0" w:after="166"/>
        <w:ind w:left="715" w:right="65" w:hanging="10"/>
        <w:rPr/>
      </w:pPr>
      <w:r>
        <w:rPr/>
        <w:t xml:space="preserve">The justification for the incident response project stems from several critical factors affecting </w:t>
      </w:r>
      <w:r>
        <w:rPr>
          <w:color w:val="auto"/>
        </w:rPr>
        <w:t>Black Sabre Response</w:t>
      </w:r>
      <w:r>
        <w:rPr/>
        <w:t>'s cybersecurity posture. The existing security policies and procedures have been deemed simplistic and inadequate to meet the growing challenges posed by sophisticated cyber threats. The appointment of the new Chief Security Officer reflects the organization's commitment to addressing these shortcomings and strengthening its overall security framework.</w:t>
      </w:r>
    </w:p>
    <w:p>
      <w:pPr>
        <w:pStyle w:val="Normal"/>
        <w:spacing w:before="0" w:after="166"/>
        <w:ind w:left="715" w:right="65" w:hanging="10"/>
        <w:rPr/>
      </w:pPr>
      <w:r>
        <w:rPr/>
      </w:r>
    </w:p>
    <w:p>
      <w:pPr>
        <w:pStyle w:val="Normal"/>
        <w:spacing w:before="0" w:after="166"/>
        <w:ind w:left="715" w:right="65" w:hanging="10"/>
        <w:rPr/>
      </w:pPr>
      <w:r>
        <w:rPr/>
        <w:t xml:space="preserve">The incident response project is a proactive measure to enhance </w:t>
      </w:r>
      <w:r>
        <w:rPr>
          <w:color w:val="auto"/>
        </w:rPr>
        <w:t>Black Sabre Response</w:t>
      </w:r>
      <w:r>
        <w:rPr/>
        <w:t xml:space="preserve">'s security resilience and ensure the protection of sensitive data, intellectual property, and client information. By developing and implementing a robust incident response plan, </w:t>
      </w:r>
      <w:r>
        <w:rPr>
          <w:color w:val="auto"/>
        </w:rPr>
        <w:t>Black Sabre Response</w:t>
      </w:r>
      <w:r>
        <w:rPr/>
        <w:t xml:space="preserve"> can reduce the potential impact of security incidents, minimizing business disruptions and financial losses.</w:t>
      </w:r>
    </w:p>
    <w:p>
      <w:pPr>
        <w:pStyle w:val="Normal"/>
        <w:spacing w:before="0" w:after="166"/>
        <w:ind w:left="715" w:right="65" w:hanging="10"/>
        <w:rPr/>
      </w:pPr>
      <w:r>
        <w:rPr/>
      </w:r>
    </w:p>
    <w:p>
      <w:pPr>
        <w:pStyle w:val="Normal"/>
        <w:spacing w:before="0" w:after="166"/>
        <w:ind w:left="715" w:right="65" w:hanging="10"/>
        <w:rPr/>
      </w:pPr>
      <w:r>
        <w:rPr/>
        <w:t xml:space="preserve">Furthermore, this project aligns with industry best practices and compliance requirements, demonstrating </w:t>
      </w:r>
      <w:r>
        <w:rPr>
          <w:color w:val="auto"/>
        </w:rPr>
        <w:t>Black Sabre Response</w:t>
      </w:r>
      <w:r>
        <w:rPr/>
        <w:t>'s dedication to maintaining the highest standards of cybersecurity and data protection. A well-prepared and efficient incident response team, coupled with an updated incident response plan, will enhance customer trust, reinforce the organization's reputation, and foster stronger relationships with clients, partners, and stakeholders.</w:t>
      </w:r>
    </w:p>
    <w:p>
      <w:pPr>
        <w:pStyle w:val="Normal"/>
        <w:spacing w:before="0" w:after="166"/>
        <w:ind w:left="715" w:right="65" w:hanging="10"/>
        <w:rPr/>
      </w:pPr>
      <w:r>
        <w:rPr/>
      </w:r>
    </w:p>
    <w:p>
      <w:pPr>
        <w:pStyle w:val="Normal"/>
        <w:spacing w:before="0" w:after="166"/>
        <w:ind w:left="715" w:right="65" w:hanging="10"/>
        <w:rPr/>
      </w:pPr>
      <w:r>
        <w:rPr/>
        <w:t xml:space="preserve">In conclusion, the incident response project serves as a strategic initiative to bolster </w:t>
      </w:r>
      <w:r>
        <w:rPr>
          <w:color w:val="auto"/>
        </w:rPr>
        <w:t>Black Sabre Response</w:t>
      </w:r>
      <w:r>
        <w:rPr/>
        <w:t>'s security posture, address vulnerabilities, and proactively respond to the dynamic cybersecurity landscape. By focusing on incident preparedness, the organization can mitigate risks, protect its assets, and uphold its commitment to maintaining a secure and resilient digital environment.</w:t>
      </w:r>
      <w:r>
        <w:br w:type="page"/>
      </w:r>
    </w:p>
    <w:p>
      <w:pPr>
        <w:pStyle w:val="Heading1"/>
        <w:rPr/>
      </w:pPr>
      <w:r>
        <w:rPr/>
        <w:t xml:space="preserve">4. Scope </w:t>
      </w:r>
    </w:p>
    <w:p>
      <w:pPr>
        <w:pStyle w:val="Normal"/>
        <w:rPr/>
      </w:pPr>
      <w:r>
        <w:rPr/>
      </w:r>
    </w:p>
    <w:p>
      <w:pPr>
        <w:pStyle w:val="Heading2"/>
        <w:rPr/>
      </w:pPr>
      <w:r>
        <w:rPr/>
        <w:t xml:space="preserve">4.1 objectives </w:t>
      </w:r>
    </w:p>
    <w:p>
      <w:pPr>
        <w:pStyle w:val="Normal"/>
        <w:spacing w:before="0" w:after="65"/>
        <w:ind w:left="1450" w:right="65" w:hanging="10"/>
        <w:rPr/>
      </w:pPr>
      <w:r>
        <w:rPr/>
        <w:t xml:space="preserve">The objectives are as follows: </w:t>
      </w:r>
    </w:p>
    <w:p>
      <w:pPr>
        <w:pStyle w:val="ListParagraph"/>
        <w:numPr>
          <w:ilvl w:val="0"/>
          <w:numId w:val="3"/>
        </w:numPr>
        <w:ind w:left="1440" w:right="65" w:hanging="360"/>
        <w:rPr>
          <w:color w:val="auto"/>
        </w:rPr>
      </w:pPr>
      <w:r>
        <w:rPr>
          <w:color w:val="auto"/>
        </w:rPr>
        <w:t>Develop and implement an updated and comprehensive incident response plan to strengthen Black Sabre Response's security posture.</w:t>
      </w:r>
    </w:p>
    <w:p>
      <w:pPr>
        <w:pStyle w:val="ListParagraph"/>
        <w:numPr>
          <w:ilvl w:val="0"/>
          <w:numId w:val="3"/>
        </w:numPr>
        <w:ind w:left="1440" w:right="65" w:hanging="360"/>
        <w:rPr>
          <w:color w:val="auto"/>
        </w:rPr>
      </w:pPr>
      <w:r>
        <w:rPr>
          <w:color w:val="auto"/>
        </w:rPr>
        <w:t>Conduct an incident response team exercise (IRTx) to test the effectiveness of the newly developed incident response plan.</w:t>
      </w:r>
    </w:p>
    <w:p>
      <w:pPr>
        <w:pStyle w:val="ListParagraph"/>
        <w:numPr>
          <w:ilvl w:val="0"/>
          <w:numId w:val="3"/>
        </w:numPr>
        <w:ind w:left="1440" w:right="65" w:hanging="360"/>
        <w:rPr>
          <w:color w:val="auto"/>
        </w:rPr>
      </w:pPr>
      <w:r>
        <w:rPr>
          <w:color w:val="auto"/>
        </w:rPr>
        <w:t>Enhance the incident response capabilities of Black Sabre Response's cybersecurity team.</w:t>
      </w:r>
    </w:p>
    <w:p>
      <w:pPr>
        <w:pStyle w:val="ListParagraph"/>
        <w:numPr>
          <w:ilvl w:val="0"/>
          <w:numId w:val="3"/>
        </w:numPr>
        <w:ind w:left="1440" w:right="65" w:hanging="360"/>
        <w:rPr>
          <w:color w:val="auto"/>
        </w:rPr>
      </w:pPr>
      <w:r>
        <w:rPr>
          <w:color w:val="auto"/>
        </w:rPr>
        <w:t>Identify and address potential weaknesses in the organization's incident response procedures.</w:t>
      </w:r>
    </w:p>
    <w:p>
      <w:pPr>
        <w:pStyle w:val="ListParagraph"/>
        <w:numPr>
          <w:ilvl w:val="0"/>
          <w:numId w:val="3"/>
        </w:numPr>
        <w:ind w:left="1440" w:right="65" w:hanging="360"/>
        <w:rPr>
          <w:color w:val="auto"/>
        </w:rPr>
      </w:pPr>
      <w:r>
        <w:rPr>
          <w:color w:val="auto"/>
        </w:rPr>
        <w:t>Foster collaboration and coordination among incident response team members.</w:t>
      </w:r>
    </w:p>
    <w:p>
      <w:pPr>
        <w:pStyle w:val="ListParagraph"/>
        <w:numPr>
          <w:ilvl w:val="0"/>
          <w:numId w:val="3"/>
        </w:numPr>
        <w:ind w:left="1440" w:right="65" w:hanging="360"/>
        <w:rPr>
          <w:color w:val="auto"/>
        </w:rPr>
      </w:pPr>
      <w:r>
        <w:rPr>
          <w:color w:val="auto"/>
        </w:rPr>
        <w:t>Improve incident detection, containment, eradication, and recovery processes.</w:t>
      </w:r>
    </w:p>
    <w:p>
      <w:pPr>
        <w:pStyle w:val="ListParagraph"/>
        <w:numPr>
          <w:ilvl w:val="0"/>
          <w:numId w:val="3"/>
        </w:numPr>
        <w:ind w:left="1440" w:right="65" w:hanging="360"/>
        <w:rPr>
          <w:color w:val="auto"/>
        </w:rPr>
      </w:pPr>
      <w:r>
        <w:rPr>
          <w:color w:val="auto"/>
        </w:rPr>
        <w:t>Minimize the impact of security incidents on business operations and client services.</w:t>
      </w:r>
    </w:p>
    <w:p>
      <w:pPr>
        <w:pStyle w:val="Heading2"/>
        <w:rPr/>
      </w:pPr>
      <w:r>
        <w:rPr>
          <w:rFonts w:eastAsia="Calibri" w:cs="Calibri" w:ascii="Calibri" w:hAnsi="Calibri"/>
          <w:sz w:val="22"/>
        </w:rPr>
        <w:tab/>
      </w:r>
      <w:r>
        <w:rPr/>
        <w:t xml:space="preserve">4.2 </w:t>
        <w:tab/>
        <w:t xml:space="preserve">High-Level requirements </w:t>
      </w:r>
    </w:p>
    <w:p>
      <w:pPr>
        <w:pStyle w:val="Normal"/>
        <w:ind w:left="1450" w:right="65" w:hanging="10"/>
        <w:rPr/>
      </w:pPr>
      <w:r>
        <w:rPr/>
        <w:t xml:space="preserve">The high-level requirements are as follows: </w:t>
      </w:r>
    </w:p>
    <w:p>
      <w:pPr>
        <w:pStyle w:val="ListParagraph"/>
        <w:numPr>
          <w:ilvl w:val="0"/>
          <w:numId w:val="4"/>
        </w:numPr>
        <w:ind w:left="1440" w:right="65" w:hanging="360"/>
        <w:rPr>
          <w:color w:val="auto"/>
        </w:rPr>
      </w:pPr>
      <w:r>
        <w:rPr>
          <w:color w:val="auto"/>
        </w:rPr>
        <w:t>The incident response plan should cover a wide range of potential security incidents, including malware infections, data breaches, insider threats, and denial-of-service attacks.</w:t>
      </w:r>
    </w:p>
    <w:p>
      <w:pPr>
        <w:pStyle w:val="ListParagraph"/>
        <w:numPr>
          <w:ilvl w:val="0"/>
          <w:numId w:val="4"/>
        </w:numPr>
        <w:ind w:left="1440" w:right="65" w:hanging="360"/>
        <w:rPr>
          <w:color w:val="auto"/>
        </w:rPr>
      </w:pPr>
      <w:r>
        <w:rPr>
          <w:color w:val="auto"/>
        </w:rPr>
        <w:t>The incident response team exercise should simulate realistic scenarios to challenge the team's response capabilities effectively.</w:t>
      </w:r>
    </w:p>
    <w:p>
      <w:pPr>
        <w:pStyle w:val="ListParagraph"/>
        <w:numPr>
          <w:ilvl w:val="0"/>
          <w:numId w:val="4"/>
        </w:numPr>
        <w:ind w:left="1440" w:right="65" w:hanging="360"/>
        <w:rPr>
          <w:color w:val="auto"/>
        </w:rPr>
      </w:pPr>
      <w:r>
        <w:rPr>
          <w:color w:val="auto"/>
        </w:rPr>
        <w:t>Incident response team members must have access to up-to-date information and resources during the exercise.</w:t>
      </w:r>
    </w:p>
    <w:p>
      <w:pPr>
        <w:pStyle w:val="ListParagraph"/>
        <w:numPr>
          <w:ilvl w:val="0"/>
          <w:numId w:val="4"/>
        </w:numPr>
        <w:ind w:left="1440" w:right="65" w:hanging="360"/>
        <w:rPr>
          <w:color w:val="auto"/>
        </w:rPr>
      </w:pPr>
      <w:r>
        <w:rPr>
          <w:color w:val="auto"/>
        </w:rPr>
        <w:t>The incident response plan should outline clear roles, responsibilities, and communication channels for team members.</w:t>
      </w:r>
    </w:p>
    <w:p>
      <w:pPr>
        <w:pStyle w:val="ListParagraph"/>
        <w:numPr>
          <w:ilvl w:val="0"/>
          <w:numId w:val="4"/>
        </w:numPr>
        <w:ind w:left="1440" w:right="65" w:hanging="360"/>
        <w:rPr>
          <w:color w:val="auto"/>
        </w:rPr>
      </w:pPr>
      <w:r>
        <w:rPr>
          <w:color w:val="auto"/>
        </w:rPr>
        <w:t>The exercise should include cross-functional collaboration involving IT, security, legal, and executive teams.</w:t>
      </w:r>
    </w:p>
    <w:p>
      <w:pPr>
        <w:pStyle w:val="ListParagraph"/>
        <w:numPr>
          <w:ilvl w:val="0"/>
          <w:numId w:val="4"/>
        </w:numPr>
        <w:ind w:left="1440" w:right="65" w:hanging="360"/>
        <w:rPr>
          <w:color w:val="auto"/>
        </w:rPr>
      </w:pPr>
      <w:r>
        <w:rPr>
          <w:color w:val="auto"/>
        </w:rPr>
        <w:t>The incident response plan should comply with relevant industry standards and regulations.</w:t>
      </w:r>
    </w:p>
    <w:p>
      <w:pPr>
        <w:pStyle w:val="Heading2"/>
        <w:rPr/>
      </w:pPr>
      <w:r>
        <w:rPr>
          <w:rFonts w:eastAsia="Calibri" w:cs="Calibri" w:ascii="Calibri" w:hAnsi="Calibri"/>
          <w:sz w:val="22"/>
        </w:rPr>
        <w:tab/>
      </w:r>
      <w:r>
        <w:rPr/>
        <w:t xml:space="preserve">4.3 </w:t>
        <w:tab/>
        <w:t xml:space="preserve">Major Deliverables </w:t>
      </w:r>
    </w:p>
    <w:p>
      <w:pPr>
        <w:pStyle w:val="Heading2"/>
        <w:rPr/>
      </w:pPr>
      <w:r>
        <w:rPr/>
        <w:t xml:space="preserve">The major deliverables are as follows. </w:t>
      </w:r>
    </w:p>
    <w:p>
      <w:pPr>
        <w:pStyle w:val="ListParagraph"/>
        <w:numPr>
          <w:ilvl w:val="0"/>
          <w:numId w:val="5"/>
        </w:numPr>
        <w:ind w:left="1440" w:right="65" w:hanging="360"/>
        <w:rPr/>
      </w:pPr>
      <w:r>
        <w:rPr/>
        <w:t>Updated incident response plan document detailing procedures and guidelines for handling various security incidents.</w:t>
      </w:r>
    </w:p>
    <w:p>
      <w:pPr>
        <w:pStyle w:val="ListParagraph"/>
        <w:numPr>
          <w:ilvl w:val="0"/>
          <w:numId w:val="5"/>
        </w:numPr>
        <w:ind w:left="1440" w:right="65" w:hanging="360"/>
        <w:rPr/>
      </w:pPr>
      <w:r>
        <w:rPr/>
        <w:t>Incident response team exercise scenario design and preparation documentation.</w:t>
      </w:r>
    </w:p>
    <w:p>
      <w:pPr>
        <w:pStyle w:val="ListParagraph"/>
        <w:numPr>
          <w:ilvl w:val="0"/>
          <w:numId w:val="5"/>
        </w:numPr>
        <w:ind w:left="1440" w:right="65" w:hanging="360"/>
        <w:rPr/>
      </w:pPr>
      <w:r>
        <w:rPr/>
        <w:t>Incident response team exercise report outlining findings, lessons learned, and recommended improvements for the incident response plan.</w:t>
      </w:r>
    </w:p>
    <w:p>
      <w:pPr>
        <w:pStyle w:val="ListParagraph"/>
        <w:numPr>
          <w:ilvl w:val="0"/>
          <w:numId w:val="5"/>
        </w:numPr>
        <w:ind w:left="1440" w:right="65" w:hanging="360"/>
        <w:rPr/>
      </w:pPr>
      <w:r>
        <w:rPr/>
        <w:t>Communication and training materials for incident response team members to ensure a common understanding of the plan's implementation.</w:t>
      </w:r>
    </w:p>
    <w:p>
      <w:pPr>
        <w:pStyle w:val="Heading2"/>
        <w:rPr/>
      </w:pPr>
      <w:r>
        <w:rPr>
          <w:rFonts w:eastAsia="Calibri" w:cs="Calibri" w:ascii="Calibri" w:hAnsi="Calibri"/>
          <w:sz w:val="22"/>
        </w:rPr>
        <w:tab/>
      </w:r>
      <w:r>
        <w:rPr/>
        <w:t xml:space="preserve">4.4 </w:t>
        <w:tab/>
        <w:t xml:space="preserve">Boundaries  </w:t>
      </w:r>
    </w:p>
    <w:p>
      <w:pPr>
        <w:pStyle w:val="Normal"/>
        <w:spacing w:lineRule="auto" w:line="259" w:before="0" w:after="160"/>
        <w:ind w:left="720" w:right="0" w:hanging="0"/>
        <w:rPr/>
      </w:pPr>
      <w:r>
        <w:rPr/>
        <w:t>The incident response team exercise (IRTx) will be limited to a duration of four hours to minimize operational disruptions while providing sufficient time for thorough testing.</w:t>
      </w:r>
    </w:p>
    <w:p>
      <w:pPr>
        <w:pStyle w:val="Normal"/>
        <w:spacing w:lineRule="auto" w:line="259" w:before="0" w:after="160"/>
        <w:ind w:left="720" w:right="0" w:hanging="0"/>
        <w:rPr/>
      </w:pPr>
      <w:r>
        <w:rPr/>
        <w:t>The IRTx will be monitored by the Purple Team, which will play the role of an independent evaluator and provide objective feedback on the team's performance.</w:t>
      </w:r>
    </w:p>
    <w:p>
      <w:pPr>
        <w:pStyle w:val="Normal"/>
        <w:spacing w:lineRule="auto" w:line="259" w:before="0" w:after="160"/>
        <w:ind w:left="720" w:right="0" w:hanging="0"/>
        <w:rPr/>
      </w:pPr>
      <w:r>
        <w:rPr/>
        <w:t>As part of the development team's commitment to security and confidentiality, each member will be bound by a non-disclosure agreement (NDA) regarding the details and outcomes of the IRTx. This ensures that sensitive information related to the exercise is not disclosed to external parties.</w:t>
      </w:r>
      <w:r>
        <w:br w:type="page"/>
      </w:r>
    </w:p>
    <w:p>
      <w:pPr>
        <w:pStyle w:val="Heading1"/>
        <w:rPr/>
      </w:pPr>
      <w:r>
        <w:rPr/>
        <w:t xml:space="preserve">5. Duration </w:t>
      </w:r>
    </w:p>
    <w:p>
      <w:pPr>
        <w:pStyle w:val="Normal"/>
        <w:rPr/>
      </w:pPr>
      <w:r>
        <w:rPr/>
      </w:r>
    </w:p>
    <w:p>
      <w:pPr>
        <w:pStyle w:val="Heading2"/>
        <w:rPr/>
      </w:pPr>
      <w:r>
        <w:rPr>
          <w:rFonts w:eastAsia="Calibri" w:cs="Calibri" w:ascii="Calibri" w:hAnsi="Calibri"/>
          <w:b w:val="false"/>
          <w:sz w:val="22"/>
        </w:rPr>
        <w:tab/>
      </w:r>
      <w:r>
        <w:rPr/>
        <w:t xml:space="preserve">5.1 Timeline </w:t>
      </w:r>
    </w:p>
    <w:p>
      <w:pPr>
        <w:pStyle w:val="Normal"/>
        <w:rPr/>
      </w:pPr>
      <w:r>
        <w:rPr/>
      </w:r>
    </w:p>
    <w:p>
      <w:pPr>
        <w:pStyle w:val="Normal"/>
        <w:spacing w:lineRule="auto" w:line="259" w:before="0" w:after="0"/>
        <w:ind w:left="0" w:right="0" w:hanging="0"/>
        <w:rPr/>
      </w:pPr>
      <w:r>
        <w:rPr/>
        <w:drawing>
          <wp:inline distT="0" distB="0" distL="0" distR="0">
            <wp:extent cx="5773420" cy="20421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73420" cy="2042160"/>
                    </a:xfrm>
                    <a:prstGeom prst="rect">
                      <a:avLst/>
                    </a:prstGeom>
                  </pic:spPr>
                </pic:pic>
              </a:graphicData>
            </a:graphic>
          </wp:inline>
        </w:drawing>
      </w:r>
    </w:p>
    <w:p>
      <w:pPr>
        <w:pStyle w:val="Normal"/>
        <w:spacing w:lineRule="auto" w:line="259" w:before="0" w:after="0"/>
        <w:ind w:left="0" w:right="0" w:hanging="0"/>
        <w:rPr/>
      </w:pPr>
      <w:r>
        <w:rPr/>
      </w:r>
    </w:p>
    <w:p>
      <w:pPr>
        <w:pStyle w:val="Heading2"/>
        <w:rPr/>
      </w:pPr>
      <w:r>
        <w:rPr/>
        <w:t xml:space="preserve">5.2 Milestones </w:t>
      </w:r>
    </w:p>
    <w:p>
      <w:pPr>
        <w:pStyle w:val="Normal"/>
        <w:spacing w:lineRule="auto" w:line="259" w:before="0" w:after="0"/>
        <w:ind w:left="1440" w:right="0" w:hanging="0"/>
        <w:rPr/>
      </w:pPr>
      <w:r>
        <w:rPr>
          <w:b/>
        </w:rPr>
        <w:t xml:space="preserve"> </w:t>
      </w:r>
    </w:p>
    <w:p>
      <w:pPr>
        <w:pStyle w:val="Normal"/>
        <w:spacing w:before="0" w:after="56"/>
        <w:ind w:left="715" w:right="65" w:hanging="10"/>
        <w:rPr/>
      </w:pPr>
      <w:r>
        <w:rPr/>
        <w:t>The table below lists milestones and their estimated completion dates.</w:t>
      </w:r>
    </w:p>
    <w:p>
      <w:pPr>
        <w:pStyle w:val="Normal"/>
        <w:spacing w:before="0" w:after="56"/>
        <w:ind w:left="715" w:right="65" w:hanging="10"/>
        <w:rPr/>
      </w:pPr>
      <w:r>
        <w:rPr/>
      </w:r>
    </w:p>
    <w:tbl>
      <w:tblPr>
        <w:tblStyle w:val="TableGrid0"/>
        <w:tblW w:w="8367" w:type="dxa"/>
        <w:jc w:val="left"/>
        <w:tblInd w:w="715" w:type="dxa"/>
        <w:tblLayout w:type="fixed"/>
        <w:tblCellMar>
          <w:top w:w="0" w:type="dxa"/>
          <w:left w:w="108" w:type="dxa"/>
          <w:bottom w:w="0" w:type="dxa"/>
          <w:right w:w="108" w:type="dxa"/>
        </w:tblCellMar>
        <w:tblLook w:val="04a0" w:noHBand="0" w:noVBand="1" w:firstColumn="1" w:lastRow="0" w:lastColumn="0" w:firstRow="1"/>
      </w:tblPr>
      <w:tblGrid>
        <w:gridCol w:w="3673"/>
        <w:gridCol w:w="4693"/>
      </w:tblGrid>
      <w:tr>
        <w:trPr/>
        <w:tc>
          <w:tcPr>
            <w:tcW w:w="3673" w:type="dxa"/>
            <w:tcBorders/>
          </w:tcPr>
          <w:p>
            <w:pPr>
              <w:pStyle w:val="Normal"/>
              <w:widowControl w:val="false"/>
              <w:suppressAutoHyphens w:val="true"/>
              <w:spacing w:before="0" w:after="56"/>
              <w:ind w:left="0" w:right="65" w:hanging="0"/>
              <w:jc w:val="left"/>
              <w:rPr>
                <w:b/>
                <w:b/>
                <w:szCs w:val="24"/>
              </w:rPr>
            </w:pPr>
            <w:r>
              <w:rPr>
                <w:b/>
                <w:kern w:val="0"/>
                <w:szCs w:val="24"/>
                <w:lang w:val="en-AU" w:eastAsia="en-AU" w:bidi="ar-SA"/>
              </w:rPr>
              <w:t>Milestone</w:t>
            </w:r>
          </w:p>
        </w:tc>
        <w:tc>
          <w:tcPr>
            <w:tcW w:w="4693" w:type="dxa"/>
            <w:tcBorders/>
          </w:tcPr>
          <w:p>
            <w:pPr>
              <w:pStyle w:val="Normal"/>
              <w:widowControl w:val="false"/>
              <w:tabs>
                <w:tab w:val="clear" w:pos="720"/>
                <w:tab w:val="center" w:pos="1433" w:leader="none"/>
                <w:tab w:val="center" w:pos="6625" w:leader="none"/>
              </w:tabs>
              <w:suppressAutoHyphens w:val="true"/>
              <w:spacing w:lineRule="auto" w:line="259" w:before="0" w:after="0"/>
              <w:ind w:left="0" w:right="0" w:hanging="0"/>
              <w:jc w:val="left"/>
              <w:rPr>
                <w:b/>
                <w:b/>
                <w:szCs w:val="24"/>
              </w:rPr>
            </w:pPr>
            <w:r>
              <w:rPr>
                <w:b/>
                <w:kern w:val="0"/>
                <w:szCs w:val="24"/>
                <w:lang w:val="en-AU" w:eastAsia="en-AU" w:bidi="ar-SA"/>
              </w:rPr>
              <w:t xml:space="preserve">Estimated completion time </w:t>
            </w:r>
          </w:p>
          <w:p>
            <w:pPr>
              <w:pStyle w:val="Normal"/>
              <w:widowControl w:val="false"/>
              <w:suppressAutoHyphens w:val="true"/>
              <w:spacing w:before="0" w:after="56"/>
              <w:ind w:left="0" w:right="65" w:hanging="0"/>
              <w:jc w:val="left"/>
              <w:rPr>
                <w:b/>
                <w:b/>
                <w:szCs w:val="24"/>
              </w:rPr>
            </w:pPr>
            <w:r>
              <w:rPr>
                <w:b/>
                <w:kern w:val="0"/>
                <w:szCs w:val="24"/>
                <w:lang w:val="en-AU" w:eastAsia="en-AU" w:bidi="ar-SA"/>
              </w:rPr>
              <w:t>frame</w:t>
            </w:r>
          </w:p>
        </w:tc>
      </w:tr>
      <w:tr>
        <w:trPr/>
        <w:tc>
          <w:tcPr>
            <w:tcW w:w="3673" w:type="dxa"/>
            <w:tcBorders/>
          </w:tcPr>
          <w:p>
            <w:pPr>
              <w:pStyle w:val="Normal"/>
              <w:widowControl w:val="false"/>
              <w:suppressAutoHyphens w:val="true"/>
              <w:spacing w:before="0" w:after="56"/>
              <w:ind w:left="0" w:right="65" w:hanging="0"/>
              <w:jc w:val="left"/>
              <w:rPr>
                <w:szCs w:val="24"/>
              </w:rPr>
            </w:pPr>
            <w:r>
              <w:rPr>
                <w:kern w:val="0"/>
                <w:szCs w:val="22"/>
                <w:lang w:val="en-AU" w:eastAsia="en-AU" w:bidi="ar-SA"/>
              </w:rPr>
            </w:r>
          </w:p>
        </w:tc>
        <w:tc>
          <w:tcPr>
            <w:tcW w:w="4693" w:type="dxa"/>
            <w:tcBorders/>
          </w:tcPr>
          <w:p>
            <w:pPr>
              <w:pStyle w:val="Normal"/>
              <w:widowControl w:val="false"/>
              <w:suppressAutoHyphens w:val="true"/>
              <w:spacing w:before="0" w:after="56"/>
              <w:ind w:left="0" w:right="65" w:hanging="0"/>
              <w:jc w:val="left"/>
              <w:rPr>
                <w:szCs w:val="24"/>
              </w:rPr>
            </w:pPr>
            <w:r>
              <w:rPr>
                <w:kern w:val="0"/>
                <w:szCs w:val="22"/>
                <w:lang w:val="en-AU" w:eastAsia="en-AU" w:bidi="ar-SA"/>
              </w:rPr>
            </w:r>
          </w:p>
        </w:tc>
      </w:tr>
      <w:tr>
        <w:trPr/>
        <w:tc>
          <w:tcPr>
            <w:tcW w:w="3673" w:type="dxa"/>
            <w:tcBorders/>
          </w:tcPr>
          <w:p>
            <w:pPr>
              <w:pStyle w:val="Normal"/>
              <w:widowControl w:val="false"/>
              <w:suppressAutoHyphens w:val="true"/>
              <w:spacing w:before="0" w:after="56"/>
              <w:ind w:left="0" w:right="65" w:hanging="0"/>
              <w:jc w:val="left"/>
              <w:rPr>
                <w:szCs w:val="24"/>
              </w:rPr>
            </w:pPr>
            <w:r>
              <w:rPr>
                <w:kern w:val="0"/>
                <w:szCs w:val="22"/>
                <w:lang w:val="en-AU" w:eastAsia="en-AU" w:bidi="ar-SA"/>
              </w:rPr>
            </w:r>
          </w:p>
        </w:tc>
        <w:tc>
          <w:tcPr>
            <w:tcW w:w="4693" w:type="dxa"/>
            <w:tcBorders/>
          </w:tcPr>
          <w:p>
            <w:pPr>
              <w:pStyle w:val="Normal"/>
              <w:widowControl w:val="false"/>
              <w:suppressAutoHyphens w:val="true"/>
              <w:spacing w:before="0" w:after="56"/>
              <w:ind w:left="0" w:right="65" w:hanging="0"/>
              <w:jc w:val="left"/>
              <w:rPr>
                <w:szCs w:val="24"/>
              </w:rPr>
            </w:pPr>
            <w:r>
              <w:rPr>
                <w:kern w:val="0"/>
                <w:szCs w:val="22"/>
                <w:lang w:val="en-AU" w:eastAsia="en-AU" w:bidi="ar-SA"/>
              </w:rPr>
            </w:r>
          </w:p>
        </w:tc>
      </w:tr>
      <w:tr>
        <w:trPr/>
        <w:tc>
          <w:tcPr>
            <w:tcW w:w="3673" w:type="dxa"/>
            <w:tcBorders/>
          </w:tcPr>
          <w:p>
            <w:pPr>
              <w:pStyle w:val="Normal"/>
              <w:widowControl w:val="false"/>
              <w:suppressAutoHyphens w:val="true"/>
              <w:spacing w:before="0" w:after="56"/>
              <w:ind w:left="0" w:right="65" w:hanging="0"/>
              <w:jc w:val="left"/>
              <w:rPr>
                <w:szCs w:val="24"/>
              </w:rPr>
            </w:pPr>
            <w:r>
              <w:rPr>
                <w:kern w:val="0"/>
                <w:szCs w:val="22"/>
                <w:lang w:val="en-AU" w:eastAsia="en-AU" w:bidi="ar-SA"/>
              </w:rPr>
            </w:r>
          </w:p>
        </w:tc>
        <w:tc>
          <w:tcPr>
            <w:tcW w:w="4693" w:type="dxa"/>
            <w:tcBorders/>
          </w:tcPr>
          <w:p>
            <w:pPr>
              <w:pStyle w:val="Normal"/>
              <w:widowControl w:val="false"/>
              <w:suppressAutoHyphens w:val="true"/>
              <w:spacing w:before="0" w:after="56"/>
              <w:ind w:left="0" w:right="65" w:hanging="0"/>
              <w:jc w:val="left"/>
              <w:rPr>
                <w:szCs w:val="24"/>
              </w:rPr>
            </w:pPr>
            <w:r>
              <w:rPr>
                <w:kern w:val="0"/>
                <w:szCs w:val="22"/>
                <w:lang w:val="en-AU" w:eastAsia="en-AU" w:bidi="ar-SA"/>
              </w:rPr>
            </w:r>
          </w:p>
        </w:tc>
      </w:tr>
    </w:tbl>
    <w:p>
      <w:pPr>
        <w:pStyle w:val="Normal"/>
        <w:spacing w:before="0" w:after="56"/>
        <w:ind w:left="715" w:right="65" w:hanging="10"/>
        <w:rPr/>
      </w:pPr>
      <w:r>
        <w:rPr/>
        <w:t xml:space="preserve"> </w:t>
      </w:r>
    </w:p>
    <w:p>
      <w:pPr>
        <w:pStyle w:val="Normal"/>
        <w:spacing w:lineRule="auto" w:line="259" w:before="0" w:after="0"/>
        <w:ind w:left="720" w:right="0" w:hanging="0"/>
        <w:rPr/>
      </w:pPr>
      <w:r>
        <w:rPr>
          <w:sz w:val="32"/>
        </w:rPr>
        <w:t xml:space="preserve"> </w:t>
      </w:r>
    </w:p>
    <w:p>
      <w:pPr>
        <w:pStyle w:val="Heading1"/>
        <w:rPr/>
      </w:pPr>
      <w:r>
        <w:rPr/>
        <w:t xml:space="preserve">6. Budget Estimate </w:t>
      </w:r>
    </w:p>
    <w:p>
      <w:pPr>
        <w:pStyle w:val="Normal"/>
        <w:spacing w:lineRule="auto" w:line="259" w:before="0" w:after="0"/>
        <w:ind w:left="720" w:right="0" w:hanging="0"/>
        <w:rPr/>
      </w:pPr>
      <w:r>
        <w:rPr>
          <w:b/>
          <w:sz w:val="32"/>
        </w:rPr>
        <w:t xml:space="preserve"> </w:t>
      </w:r>
    </w:p>
    <w:p>
      <w:pPr>
        <w:pStyle w:val="Heading2"/>
        <w:rPr/>
      </w:pPr>
      <w:r>
        <w:rPr>
          <w:rFonts w:eastAsia="Calibri" w:cs="Calibri" w:ascii="Calibri" w:hAnsi="Calibri"/>
          <w:b w:val="false"/>
          <w:sz w:val="22"/>
        </w:rPr>
        <w:tab/>
      </w:r>
      <w:r>
        <w:rPr/>
        <w:t xml:space="preserve">6.1 </w:t>
        <w:tab/>
        <w:t xml:space="preserve">Funding source </w:t>
      </w:r>
    </w:p>
    <w:p>
      <w:pPr>
        <w:pStyle w:val="Normal"/>
        <w:ind w:left="715" w:right="65" w:hanging="10"/>
        <w:rPr/>
      </w:pPr>
      <w:r>
        <w:rPr/>
        <w:t xml:space="preserve">The Red, Blue and Purple playbooks are being developed as part of a student project for certificate IV in cyber security at TAFE Coomera. </w:t>
      </w:r>
    </w:p>
    <w:p>
      <w:pPr>
        <w:pStyle w:val="Normal"/>
        <w:spacing w:lineRule="auto" w:line="259" w:before="0" w:after="38"/>
        <w:ind w:left="720" w:right="0" w:hanging="0"/>
        <w:rPr/>
      </w:pPr>
      <w:r>
        <w:rPr/>
        <w:t xml:space="preserve"> </w:t>
      </w:r>
    </w:p>
    <w:p>
      <w:pPr>
        <w:pStyle w:val="Heading2"/>
        <w:rPr/>
      </w:pPr>
      <w:r>
        <w:rPr>
          <w:rFonts w:eastAsia="Calibri" w:cs="Calibri" w:ascii="Calibri" w:hAnsi="Calibri"/>
          <w:b w:val="false"/>
          <w:sz w:val="22"/>
        </w:rPr>
        <w:tab/>
      </w:r>
      <w:r>
        <w:rPr/>
        <w:t xml:space="preserve">6.2 </w:t>
        <w:tab/>
        <w:t xml:space="preserve">Estimate  </w:t>
      </w:r>
    </w:p>
    <w:p>
      <w:pPr>
        <w:pStyle w:val="Normal"/>
        <w:ind w:left="715" w:right="65" w:hanging="10"/>
        <w:rPr/>
      </w:pPr>
      <w:r>
        <w:rPr/>
        <w:t xml:space="preserve">This section provides a summary of estimated spending to meet objectives and deadlines described in this project charter. This summery of spending is preliminary and reflects costs for the entire investment lifecycle. It is intended to present probable funding requirements and assist in budgeting acquisition. </w:t>
      </w:r>
    </w:p>
    <w:p>
      <w:pPr>
        <w:pStyle w:val="Normal"/>
        <w:spacing w:lineRule="auto" w:line="259" w:before="0" w:after="0"/>
        <w:ind w:left="0" w:right="0" w:hanging="0"/>
        <w:rPr/>
      </w:pPr>
      <w:r>
        <w:rPr/>
        <w:t xml:space="preserve"> </w:t>
      </w:r>
    </w:p>
    <w:p>
      <w:pPr>
        <w:pStyle w:val="Normal"/>
        <w:spacing w:lineRule="auto" w:line="259" w:before="0" w:after="160"/>
        <w:ind w:left="730" w:right="0" w:hanging="10"/>
        <w:rPr>
          <w:b/>
          <w:b/>
        </w:rPr>
      </w:pPr>
      <w:r>
        <w:rPr/>
        <w:drawing>
          <wp:inline distT="0" distB="0" distL="0" distR="0">
            <wp:extent cx="5773420" cy="39370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773420" cy="3937000"/>
                    </a:xfrm>
                    <a:prstGeom prst="rect">
                      <a:avLst/>
                    </a:prstGeom>
                  </pic:spPr>
                </pic:pic>
              </a:graphicData>
            </a:graphic>
          </wp:inline>
        </w:drawing>
      </w:r>
      <w:r>
        <w:br w:type="page"/>
      </w:r>
    </w:p>
    <w:tbl>
      <w:tblPr>
        <w:tblStyle w:val="TableGrid0"/>
        <w:tblW w:w="8367" w:type="dxa"/>
        <w:jc w:val="left"/>
        <w:tblInd w:w="715" w:type="dxa"/>
        <w:tblLayout w:type="fixed"/>
        <w:tblCellMar>
          <w:top w:w="0" w:type="dxa"/>
          <w:left w:w="108" w:type="dxa"/>
          <w:bottom w:w="0" w:type="dxa"/>
          <w:right w:w="108" w:type="dxa"/>
        </w:tblCellMar>
        <w:tblLook w:val="04a0" w:noHBand="0" w:noVBand="1" w:firstColumn="1" w:lastRow="0" w:lastColumn="0" w:firstRow="1"/>
      </w:tblPr>
      <w:tblGrid>
        <w:gridCol w:w="1265"/>
        <w:gridCol w:w="1416"/>
        <w:gridCol w:w="1418"/>
        <w:gridCol w:w="1419"/>
        <w:gridCol w:w="1419"/>
        <w:gridCol w:w="1429"/>
      </w:tblGrid>
      <w:tr>
        <w:trPr/>
        <w:tc>
          <w:tcPr>
            <w:tcW w:w="1265" w:type="dxa"/>
            <w:tcBorders/>
          </w:tcPr>
          <w:p>
            <w:pPr>
              <w:pStyle w:val="Normal"/>
              <w:pageBreakBefore/>
              <w:widowControl w:val="false"/>
              <w:suppressAutoHyphens w:val="true"/>
              <w:spacing w:before="0" w:after="147"/>
              <w:ind w:left="0" w:right="65" w:hanging="0"/>
              <w:jc w:val="left"/>
              <w:rPr>
                <w:b/>
                <w:b/>
              </w:rPr>
            </w:pPr>
            <w:r>
              <w:rPr>
                <w:b/>
                <w:kern w:val="0"/>
                <w:szCs w:val="22"/>
                <w:lang w:val="en-AU" w:eastAsia="en-AU" w:bidi="ar-SA"/>
              </w:rPr>
              <w:t>Budget Item</w:t>
            </w:r>
          </w:p>
        </w:tc>
        <w:tc>
          <w:tcPr>
            <w:tcW w:w="1416" w:type="dxa"/>
            <w:tcBorders/>
          </w:tcPr>
          <w:p>
            <w:pPr>
              <w:pStyle w:val="Normal"/>
              <w:widowControl w:val="false"/>
              <w:suppressAutoHyphens w:val="true"/>
              <w:spacing w:before="0" w:after="147"/>
              <w:ind w:left="0" w:right="65" w:hanging="0"/>
              <w:jc w:val="left"/>
              <w:rPr>
                <w:b/>
                <w:b/>
              </w:rPr>
            </w:pPr>
            <w:r>
              <w:rPr>
                <w:b/>
                <w:kern w:val="0"/>
                <w:szCs w:val="22"/>
                <w:lang w:val="en-AU" w:eastAsia="en-AU" w:bidi="ar-SA"/>
              </w:rPr>
              <w:t>Month1</w:t>
            </w:r>
          </w:p>
        </w:tc>
        <w:tc>
          <w:tcPr>
            <w:tcW w:w="1418" w:type="dxa"/>
            <w:tcBorders/>
          </w:tcPr>
          <w:p>
            <w:pPr>
              <w:pStyle w:val="Normal"/>
              <w:widowControl w:val="false"/>
              <w:suppressAutoHyphens w:val="true"/>
              <w:spacing w:before="0" w:after="147"/>
              <w:ind w:left="0" w:right="65" w:hanging="0"/>
              <w:jc w:val="left"/>
              <w:rPr>
                <w:b/>
                <w:b/>
              </w:rPr>
            </w:pPr>
            <w:r>
              <w:rPr>
                <w:b/>
                <w:kern w:val="0"/>
                <w:szCs w:val="22"/>
                <w:lang w:val="en-AU" w:eastAsia="en-AU" w:bidi="ar-SA"/>
              </w:rPr>
              <w:t>Month 2</w:t>
            </w:r>
          </w:p>
        </w:tc>
        <w:tc>
          <w:tcPr>
            <w:tcW w:w="1419" w:type="dxa"/>
            <w:tcBorders/>
          </w:tcPr>
          <w:p>
            <w:pPr>
              <w:pStyle w:val="Normal"/>
              <w:widowControl w:val="false"/>
              <w:suppressAutoHyphens w:val="true"/>
              <w:spacing w:before="0" w:after="147"/>
              <w:ind w:left="0" w:right="65" w:hanging="0"/>
              <w:jc w:val="left"/>
              <w:rPr>
                <w:b/>
                <w:b/>
              </w:rPr>
            </w:pPr>
            <w:r>
              <w:rPr>
                <w:b/>
                <w:kern w:val="0"/>
                <w:szCs w:val="22"/>
                <w:lang w:val="en-AU" w:eastAsia="en-AU" w:bidi="ar-SA"/>
              </w:rPr>
              <w:t>Month 3</w:t>
            </w:r>
          </w:p>
        </w:tc>
        <w:tc>
          <w:tcPr>
            <w:tcW w:w="1419" w:type="dxa"/>
            <w:tcBorders/>
          </w:tcPr>
          <w:p>
            <w:pPr>
              <w:pStyle w:val="Normal"/>
              <w:widowControl w:val="false"/>
              <w:suppressAutoHyphens w:val="true"/>
              <w:spacing w:before="0" w:after="147"/>
              <w:ind w:left="0" w:right="65" w:hanging="0"/>
              <w:jc w:val="left"/>
              <w:rPr>
                <w:b/>
                <w:b/>
              </w:rPr>
            </w:pPr>
            <w:r>
              <w:rPr>
                <w:b/>
                <w:kern w:val="0"/>
                <w:szCs w:val="22"/>
                <w:lang w:val="en-AU" w:eastAsia="en-AU" w:bidi="ar-SA"/>
              </w:rPr>
              <w:t>Month 4</w:t>
            </w:r>
          </w:p>
        </w:tc>
        <w:tc>
          <w:tcPr>
            <w:tcW w:w="1429" w:type="dxa"/>
            <w:tcBorders/>
          </w:tcPr>
          <w:p>
            <w:pPr>
              <w:pStyle w:val="Normal"/>
              <w:widowControl w:val="false"/>
              <w:suppressAutoHyphens w:val="true"/>
              <w:spacing w:before="0" w:after="147"/>
              <w:ind w:left="0" w:right="65" w:hanging="0"/>
              <w:jc w:val="left"/>
              <w:rPr>
                <w:b/>
                <w:b/>
              </w:rPr>
            </w:pPr>
            <w:r>
              <w:rPr>
                <w:b/>
                <w:kern w:val="0"/>
                <w:szCs w:val="22"/>
                <w:lang w:val="en-AU" w:eastAsia="en-AU" w:bidi="ar-SA"/>
              </w:rPr>
              <w:t>Total</w:t>
            </w:r>
          </w:p>
        </w:tc>
      </w:tr>
      <w:tr>
        <w:trPr/>
        <w:tc>
          <w:tcPr>
            <w:tcW w:w="1265" w:type="dxa"/>
            <w:tcBorders/>
          </w:tcPr>
          <w:p>
            <w:pPr>
              <w:pStyle w:val="Normal"/>
              <w:widowControl w:val="false"/>
              <w:suppressAutoHyphens w:val="true"/>
              <w:spacing w:before="0" w:after="147"/>
              <w:ind w:left="0" w:right="65" w:hanging="0"/>
              <w:jc w:val="left"/>
              <w:rPr>
                <w:kern w:val="0"/>
                <w:szCs w:val="22"/>
                <w:lang w:val="en-AU" w:eastAsia="en-AU" w:bidi="ar-SA"/>
              </w:rPr>
            </w:pPr>
            <w:r>
              <w:rPr>
                <w:kern w:val="0"/>
                <w:szCs w:val="22"/>
                <w:lang w:val="en-AU" w:eastAsia="en-AU" w:bidi="ar-SA"/>
              </w:rPr>
            </w:r>
          </w:p>
        </w:tc>
        <w:tc>
          <w:tcPr>
            <w:tcW w:w="1416" w:type="dxa"/>
            <w:tcBorders/>
          </w:tcPr>
          <w:p>
            <w:pPr>
              <w:pStyle w:val="Normal"/>
              <w:widowControl w:val="false"/>
              <w:suppressAutoHyphens w:val="true"/>
              <w:spacing w:before="0" w:after="147"/>
              <w:ind w:left="0" w:right="65" w:hanging="0"/>
              <w:jc w:val="left"/>
              <w:rPr>
                <w:kern w:val="0"/>
                <w:szCs w:val="22"/>
                <w:lang w:val="en-AU" w:eastAsia="en-AU" w:bidi="ar-SA"/>
              </w:rPr>
            </w:pPr>
            <w:r>
              <w:rPr>
                <w:kern w:val="0"/>
                <w:szCs w:val="22"/>
                <w:lang w:val="en-AU" w:eastAsia="en-AU" w:bidi="ar-SA"/>
              </w:rPr>
            </w:r>
          </w:p>
        </w:tc>
        <w:tc>
          <w:tcPr>
            <w:tcW w:w="1418" w:type="dxa"/>
            <w:tcBorders/>
          </w:tcPr>
          <w:p>
            <w:pPr>
              <w:pStyle w:val="Normal"/>
              <w:widowControl w:val="false"/>
              <w:suppressAutoHyphens w:val="true"/>
              <w:spacing w:before="0" w:after="147"/>
              <w:ind w:left="0" w:right="65" w:hanging="0"/>
              <w:jc w:val="left"/>
              <w:rPr>
                <w:kern w:val="0"/>
                <w:szCs w:val="22"/>
                <w:lang w:val="en-AU" w:eastAsia="en-AU" w:bidi="ar-SA"/>
              </w:rPr>
            </w:pPr>
            <w:r>
              <w:rPr>
                <w:kern w:val="0"/>
                <w:szCs w:val="22"/>
                <w:lang w:val="en-AU" w:eastAsia="en-AU" w:bidi="ar-SA"/>
              </w:rPr>
            </w:r>
          </w:p>
        </w:tc>
        <w:tc>
          <w:tcPr>
            <w:tcW w:w="1419" w:type="dxa"/>
            <w:tcBorders/>
          </w:tcPr>
          <w:p>
            <w:pPr>
              <w:pStyle w:val="Normal"/>
              <w:widowControl w:val="false"/>
              <w:suppressAutoHyphens w:val="true"/>
              <w:spacing w:before="0" w:after="147"/>
              <w:ind w:left="0" w:right="65" w:hanging="0"/>
              <w:jc w:val="left"/>
              <w:rPr>
                <w:kern w:val="0"/>
                <w:szCs w:val="22"/>
                <w:lang w:val="en-AU" w:eastAsia="en-AU" w:bidi="ar-SA"/>
              </w:rPr>
            </w:pPr>
            <w:r>
              <w:rPr>
                <w:kern w:val="0"/>
                <w:szCs w:val="22"/>
                <w:lang w:val="en-AU" w:eastAsia="en-AU" w:bidi="ar-SA"/>
              </w:rPr>
            </w:r>
          </w:p>
        </w:tc>
        <w:tc>
          <w:tcPr>
            <w:tcW w:w="1419" w:type="dxa"/>
            <w:tcBorders/>
          </w:tcPr>
          <w:p>
            <w:pPr>
              <w:pStyle w:val="Normal"/>
              <w:widowControl w:val="false"/>
              <w:suppressAutoHyphens w:val="true"/>
              <w:spacing w:before="0" w:after="147"/>
              <w:ind w:left="0" w:right="65" w:hanging="0"/>
              <w:jc w:val="left"/>
              <w:rPr>
                <w:kern w:val="0"/>
                <w:szCs w:val="22"/>
                <w:lang w:val="en-AU" w:eastAsia="en-AU" w:bidi="ar-SA"/>
              </w:rPr>
            </w:pPr>
            <w:r>
              <w:rPr>
                <w:kern w:val="0"/>
                <w:szCs w:val="22"/>
                <w:lang w:val="en-AU" w:eastAsia="en-AU" w:bidi="ar-SA"/>
              </w:rPr>
            </w:r>
          </w:p>
        </w:tc>
        <w:tc>
          <w:tcPr>
            <w:tcW w:w="1429" w:type="dxa"/>
            <w:tcBorders/>
          </w:tcPr>
          <w:p>
            <w:pPr>
              <w:pStyle w:val="Normal"/>
              <w:widowControl w:val="false"/>
              <w:suppressAutoHyphens w:val="true"/>
              <w:spacing w:before="0" w:after="147"/>
              <w:ind w:left="0" w:right="65" w:hanging="0"/>
              <w:jc w:val="left"/>
              <w:rPr>
                <w:kern w:val="0"/>
                <w:szCs w:val="22"/>
                <w:lang w:val="en-AU" w:eastAsia="en-AU" w:bidi="ar-SA"/>
              </w:rPr>
            </w:pPr>
            <w:r>
              <w:rPr>
                <w:kern w:val="0"/>
                <w:szCs w:val="22"/>
                <w:lang w:val="en-AU" w:eastAsia="en-AU" w:bidi="ar-SA"/>
              </w:rPr>
            </w:r>
          </w:p>
        </w:tc>
      </w:tr>
      <w:tr>
        <w:trPr/>
        <w:tc>
          <w:tcPr>
            <w:tcW w:w="1265" w:type="dxa"/>
            <w:tcBorders/>
          </w:tcPr>
          <w:p>
            <w:pPr>
              <w:pStyle w:val="Normal"/>
              <w:widowControl w:val="false"/>
              <w:suppressAutoHyphens w:val="true"/>
              <w:spacing w:before="0" w:after="147"/>
              <w:ind w:left="0" w:right="65" w:hanging="0"/>
              <w:jc w:val="left"/>
              <w:rPr>
                <w:kern w:val="0"/>
                <w:szCs w:val="22"/>
                <w:lang w:val="en-AU" w:eastAsia="en-AU" w:bidi="ar-SA"/>
              </w:rPr>
            </w:pPr>
            <w:r>
              <w:rPr>
                <w:kern w:val="0"/>
                <w:szCs w:val="22"/>
                <w:lang w:val="en-AU" w:eastAsia="en-AU" w:bidi="ar-SA"/>
              </w:rPr>
            </w:r>
          </w:p>
        </w:tc>
        <w:tc>
          <w:tcPr>
            <w:tcW w:w="1416" w:type="dxa"/>
            <w:tcBorders/>
          </w:tcPr>
          <w:p>
            <w:pPr>
              <w:pStyle w:val="Normal"/>
              <w:widowControl w:val="false"/>
              <w:suppressAutoHyphens w:val="true"/>
              <w:spacing w:before="0" w:after="147"/>
              <w:ind w:left="0" w:right="65" w:hanging="0"/>
              <w:jc w:val="left"/>
              <w:rPr>
                <w:kern w:val="0"/>
                <w:szCs w:val="22"/>
                <w:lang w:val="en-AU" w:eastAsia="en-AU" w:bidi="ar-SA"/>
              </w:rPr>
            </w:pPr>
            <w:r>
              <w:rPr>
                <w:kern w:val="0"/>
                <w:szCs w:val="22"/>
                <w:lang w:val="en-AU" w:eastAsia="en-AU" w:bidi="ar-SA"/>
              </w:rPr>
            </w:r>
          </w:p>
        </w:tc>
        <w:tc>
          <w:tcPr>
            <w:tcW w:w="1418" w:type="dxa"/>
            <w:tcBorders/>
          </w:tcPr>
          <w:p>
            <w:pPr>
              <w:pStyle w:val="Normal"/>
              <w:widowControl w:val="false"/>
              <w:suppressAutoHyphens w:val="true"/>
              <w:spacing w:before="0" w:after="147"/>
              <w:ind w:left="0" w:right="65" w:hanging="0"/>
              <w:jc w:val="left"/>
              <w:rPr>
                <w:kern w:val="0"/>
                <w:szCs w:val="22"/>
                <w:lang w:val="en-AU" w:eastAsia="en-AU" w:bidi="ar-SA"/>
              </w:rPr>
            </w:pPr>
            <w:r>
              <w:rPr>
                <w:kern w:val="0"/>
                <w:szCs w:val="22"/>
                <w:lang w:val="en-AU" w:eastAsia="en-AU" w:bidi="ar-SA"/>
              </w:rPr>
            </w:r>
          </w:p>
        </w:tc>
        <w:tc>
          <w:tcPr>
            <w:tcW w:w="1419" w:type="dxa"/>
            <w:tcBorders/>
          </w:tcPr>
          <w:p>
            <w:pPr>
              <w:pStyle w:val="Normal"/>
              <w:widowControl w:val="false"/>
              <w:suppressAutoHyphens w:val="true"/>
              <w:spacing w:before="0" w:after="147"/>
              <w:ind w:left="0" w:right="65" w:hanging="0"/>
              <w:jc w:val="left"/>
              <w:rPr>
                <w:kern w:val="0"/>
                <w:szCs w:val="22"/>
                <w:lang w:val="en-AU" w:eastAsia="en-AU" w:bidi="ar-SA"/>
              </w:rPr>
            </w:pPr>
            <w:r>
              <w:rPr>
                <w:kern w:val="0"/>
                <w:szCs w:val="22"/>
                <w:lang w:val="en-AU" w:eastAsia="en-AU" w:bidi="ar-SA"/>
              </w:rPr>
            </w:r>
          </w:p>
        </w:tc>
        <w:tc>
          <w:tcPr>
            <w:tcW w:w="1419" w:type="dxa"/>
            <w:tcBorders/>
          </w:tcPr>
          <w:p>
            <w:pPr>
              <w:pStyle w:val="Normal"/>
              <w:widowControl w:val="false"/>
              <w:suppressAutoHyphens w:val="true"/>
              <w:spacing w:before="0" w:after="147"/>
              <w:ind w:left="0" w:right="65" w:hanging="0"/>
              <w:jc w:val="left"/>
              <w:rPr>
                <w:kern w:val="0"/>
                <w:szCs w:val="22"/>
                <w:lang w:val="en-AU" w:eastAsia="en-AU" w:bidi="ar-SA"/>
              </w:rPr>
            </w:pPr>
            <w:r>
              <w:rPr>
                <w:kern w:val="0"/>
                <w:szCs w:val="22"/>
                <w:lang w:val="en-AU" w:eastAsia="en-AU" w:bidi="ar-SA"/>
              </w:rPr>
            </w:r>
          </w:p>
        </w:tc>
        <w:tc>
          <w:tcPr>
            <w:tcW w:w="1429" w:type="dxa"/>
            <w:tcBorders/>
          </w:tcPr>
          <w:p>
            <w:pPr>
              <w:pStyle w:val="Normal"/>
              <w:widowControl w:val="false"/>
              <w:suppressAutoHyphens w:val="true"/>
              <w:spacing w:before="0" w:after="147"/>
              <w:ind w:left="0" w:right="65" w:hanging="0"/>
              <w:jc w:val="left"/>
              <w:rPr>
                <w:kern w:val="0"/>
                <w:szCs w:val="22"/>
                <w:lang w:val="en-AU" w:eastAsia="en-AU" w:bidi="ar-SA"/>
              </w:rPr>
            </w:pPr>
            <w:r>
              <w:rPr>
                <w:kern w:val="0"/>
                <w:szCs w:val="22"/>
                <w:lang w:val="en-AU" w:eastAsia="en-AU" w:bidi="ar-SA"/>
              </w:rPr>
            </w:r>
          </w:p>
        </w:tc>
      </w:tr>
    </w:tbl>
    <w:p>
      <w:pPr>
        <w:pStyle w:val="Normal"/>
        <w:spacing w:before="0" w:after="147"/>
        <w:ind w:left="715" w:right="65" w:hanging="10"/>
        <w:rPr/>
      </w:pPr>
      <w:r>
        <w:rPr/>
      </w:r>
    </w:p>
    <w:p>
      <w:pPr>
        <w:pStyle w:val="Heading1"/>
        <w:ind w:left="0" w:right="65" w:hanging="0"/>
        <w:rPr>
          <w:b w:val="false"/>
          <w:b w:val="false"/>
          <w:sz w:val="24"/>
        </w:rPr>
      </w:pPr>
      <w:r>
        <w:rPr>
          <w:b w:val="false"/>
          <w:sz w:val="24"/>
        </w:rPr>
      </w:r>
    </w:p>
    <w:p>
      <w:pPr>
        <w:pStyle w:val="Heading1"/>
        <w:ind w:left="355" w:right="65" w:hanging="10"/>
        <w:rPr/>
      </w:pPr>
      <w:r>
        <w:rPr/>
        <w:t xml:space="preserve">7. ASSUMPTIONS, CONSTRAINTS AND RISKS  </w:t>
      </w:r>
    </w:p>
    <w:p>
      <w:pPr>
        <w:pStyle w:val="Normal"/>
        <w:spacing w:lineRule="auto" w:line="259" w:before="0" w:after="0"/>
        <w:ind w:left="450" w:right="0" w:hanging="0"/>
        <w:rPr/>
      </w:pPr>
      <w:r>
        <w:rPr>
          <w:sz w:val="32"/>
        </w:rPr>
        <w:t xml:space="preserve"> </w:t>
      </w:r>
      <w:r>
        <w:rPr>
          <w:sz w:val="18"/>
        </w:rPr>
        <w:t xml:space="preserve"> </w:t>
      </w:r>
    </w:p>
    <w:p>
      <w:pPr>
        <w:pStyle w:val="ListParagraph"/>
        <w:numPr>
          <w:ilvl w:val="1"/>
          <w:numId w:val="1"/>
        </w:numPr>
        <w:spacing w:lineRule="auto" w:line="259" w:before="0" w:after="4"/>
        <w:ind w:left="1215" w:right="0" w:hanging="405"/>
        <w:contextualSpacing/>
        <w:rPr/>
      </w:pPr>
      <w:r>
        <w:rPr>
          <w:b/>
          <w:sz w:val="28"/>
        </w:rPr>
        <w:t>Assumptions:</w:t>
      </w:r>
      <w:r>
        <w:rPr>
          <w:sz w:val="28"/>
        </w:rPr>
        <w:t xml:space="preserve">  </w:t>
      </w:r>
    </w:p>
    <w:p>
      <w:pPr>
        <w:pStyle w:val="ListParagraph"/>
        <w:numPr>
          <w:ilvl w:val="0"/>
          <w:numId w:val="6"/>
        </w:numPr>
        <w:ind w:left="1430" w:right="65" w:hanging="360"/>
        <w:rPr/>
      </w:pPr>
      <w:r>
        <w:rPr/>
        <w:t>All members know their roles and how to perform them</w:t>
      </w:r>
    </w:p>
    <w:p>
      <w:pPr>
        <w:pStyle w:val="ListParagraph"/>
        <w:numPr>
          <w:ilvl w:val="0"/>
          <w:numId w:val="6"/>
        </w:numPr>
        <w:ind w:left="1430" w:right="65" w:hanging="360"/>
        <w:rPr/>
      </w:pPr>
      <w:r>
        <w:rPr/>
        <w:t>All handbooks have been created and verified</w:t>
      </w:r>
    </w:p>
    <w:p>
      <w:pPr>
        <w:pStyle w:val="ListParagraph"/>
        <w:numPr>
          <w:ilvl w:val="0"/>
          <w:numId w:val="6"/>
        </w:numPr>
        <w:ind w:left="1430" w:right="65" w:hanging="360"/>
        <w:rPr/>
      </w:pPr>
      <w:r>
        <w:rPr/>
        <w:t>When performing exercise, Red team IP won’t be blocked to completely render them useless.</w:t>
      </w:r>
    </w:p>
    <w:p>
      <w:pPr>
        <w:pStyle w:val="ListParagraph"/>
        <w:numPr>
          <w:ilvl w:val="0"/>
          <w:numId w:val="6"/>
        </w:numPr>
        <w:ind w:left="1430" w:right="65" w:hanging="360"/>
        <w:rPr/>
      </w:pPr>
      <w:r>
        <w:rPr/>
        <w:t>A clear objective has been set</w:t>
      </w:r>
    </w:p>
    <w:p>
      <w:pPr>
        <w:pStyle w:val="Normal"/>
        <w:spacing w:lineRule="auto" w:line="259" w:before="0" w:after="23"/>
        <w:ind w:left="720" w:right="0" w:hanging="0"/>
        <w:rPr/>
      </w:pPr>
      <w:r>
        <w:rPr/>
        <w:t xml:space="preserve"> </w:t>
      </w:r>
      <w:r>
        <w:rPr>
          <w:sz w:val="18"/>
        </w:rPr>
        <w:t xml:space="preserve"> </w:t>
      </w:r>
    </w:p>
    <w:p>
      <w:pPr>
        <w:pStyle w:val="Normal"/>
        <w:spacing w:lineRule="auto" w:line="259" w:before="0" w:after="0"/>
        <w:ind w:left="720" w:right="0" w:hanging="0"/>
        <w:rPr/>
      </w:pPr>
      <w:r>
        <w:rPr>
          <w:b/>
          <w:sz w:val="28"/>
        </w:rPr>
        <w:t xml:space="preserve"> </w:t>
      </w:r>
    </w:p>
    <w:p>
      <w:pPr>
        <w:pStyle w:val="Normal"/>
        <w:spacing w:lineRule="auto" w:line="259" w:before="0" w:after="0"/>
        <w:ind w:left="720" w:right="0" w:hanging="0"/>
        <w:rPr>
          <w:sz w:val="28"/>
        </w:rPr>
      </w:pPr>
      <w:r>
        <w:rPr>
          <w:b/>
          <w:sz w:val="28"/>
        </w:rPr>
        <w:t>7.2 Constraints:</w:t>
      </w:r>
    </w:p>
    <w:p>
      <w:pPr>
        <w:pStyle w:val="ListParagraph"/>
        <w:spacing w:lineRule="auto" w:line="259" w:before="0" w:after="112"/>
        <w:ind w:left="1800" w:right="0" w:hanging="360"/>
        <w:contextualSpacing/>
        <w:rPr/>
      </w:pPr>
      <w:r>
        <w:rPr/>
        <w:t>Time Constraints:</w:t>
      </w:r>
    </w:p>
    <w:p>
      <w:pPr>
        <w:pStyle w:val="ListParagraph"/>
        <w:spacing w:lineRule="auto" w:line="259" w:before="0" w:after="112"/>
        <w:ind w:left="1800" w:right="0" w:hanging="360"/>
        <w:contextualSpacing/>
        <w:rPr/>
      </w:pPr>
      <w:r>
        <w:rPr/>
        <w:t>Only 2-3 Hours allowed to test machines for vulnerabilities</w:t>
      </w:r>
    </w:p>
    <w:p>
      <w:pPr>
        <w:pStyle w:val="ListParagraph"/>
        <w:spacing w:lineRule="auto" w:line="259" w:before="0" w:after="112"/>
        <w:ind w:left="1800" w:right="0" w:hanging="360"/>
        <w:contextualSpacing/>
        <w:rPr/>
      </w:pPr>
      <w:r>
        <w:rPr/>
        <w:t xml:space="preserve">2.5 Months for full IRTx </w:t>
      </w:r>
    </w:p>
    <w:p>
      <w:pPr>
        <w:pStyle w:val="ListParagraph"/>
        <w:spacing w:lineRule="auto" w:line="259" w:before="0" w:after="112"/>
        <w:ind w:left="1800" w:right="0" w:hanging="360"/>
        <w:contextualSpacing/>
        <w:rPr>
          <w:color w:val="FF0000"/>
        </w:rPr>
      </w:pPr>
      <w:r>
        <w:rPr>
          <w:color w:val="FF0000"/>
        </w:rPr>
      </w:r>
    </w:p>
    <w:p>
      <w:pPr>
        <w:pStyle w:val="ListParagraph"/>
        <w:spacing w:before="0" w:after="60"/>
        <w:ind w:left="1440" w:right="65" w:hanging="0"/>
        <w:contextualSpacing/>
        <w:rPr/>
      </w:pPr>
      <w:r>
        <w:rPr>
          <w:b/>
        </w:rPr>
        <w:t>Resource constraints:</w:t>
      </w:r>
    </w:p>
    <w:p>
      <w:pPr>
        <w:pStyle w:val="ListParagraph"/>
        <w:spacing w:before="0" w:after="60"/>
        <w:ind w:left="1440" w:right="65" w:hanging="0"/>
        <w:contextualSpacing/>
        <w:rPr/>
      </w:pPr>
      <w:r>
        <w:rPr/>
        <w:t>Power and CPU resources allocated to NUTANIX machines</w:t>
      </w:r>
    </w:p>
    <w:p>
      <w:pPr>
        <w:pStyle w:val="ListParagraph"/>
        <w:spacing w:before="0" w:after="60"/>
        <w:ind w:left="1440" w:right="65" w:hanging="0"/>
        <w:contextualSpacing/>
        <w:rPr/>
      </w:pPr>
      <w:r>
        <w:rPr/>
      </w:r>
    </w:p>
    <w:p>
      <w:pPr>
        <w:pStyle w:val="ListParagraph"/>
        <w:ind w:left="1440" w:right="65" w:hanging="0"/>
        <w:rPr/>
      </w:pPr>
      <w:r>
        <w:rPr>
          <w:b/>
        </w:rPr>
        <w:t>Technical constraints:</w:t>
      </w:r>
      <w:r>
        <w:rPr/>
        <w:t xml:space="preserve"> </w:t>
      </w:r>
    </w:p>
    <w:p>
      <w:pPr>
        <w:pStyle w:val="ListParagraph"/>
        <w:ind w:left="1440" w:right="65" w:hanging="0"/>
        <w:rPr/>
      </w:pPr>
      <w:r>
        <w:rPr/>
        <w:t>Limited to team members knowledge</w:t>
      </w:r>
    </w:p>
    <w:p>
      <w:pPr>
        <w:pStyle w:val="Normal"/>
        <w:spacing w:lineRule="auto" w:line="259" w:before="0" w:after="23"/>
        <w:ind w:left="0" w:right="0" w:hanging="0"/>
        <w:rPr>
          <w:color w:val="FF0000"/>
        </w:rPr>
      </w:pPr>
      <w:r>
        <w:rPr>
          <w:color w:val="FF0000"/>
        </w:rPr>
        <w:t xml:space="preserve"> </w:t>
      </w:r>
      <w:r>
        <w:rPr>
          <w:color w:val="FF0000"/>
          <w:sz w:val="18"/>
        </w:rPr>
        <w:t xml:space="preserve"> </w:t>
      </w:r>
    </w:p>
    <w:p>
      <w:pPr>
        <w:pStyle w:val="Normal"/>
        <w:spacing w:lineRule="auto" w:line="259" w:before="0" w:after="4"/>
        <w:ind w:left="715" w:right="0" w:hanging="10"/>
        <w:rPr/>
      </w:pPr>
      <w:r>
        <w:rPr>
          <w:b/>
          <w:sz w:val="28"/>
        </w:rPr>
        <w:t>7.3 Risks:</w:t>
      </w:r>
      <w:r>
        <w:rPr>
          <w:sz w:val="28"/>
        </w:rPr>
        <w:t xml:space="preserve">  </w:t>
      </w:r>
    </w:p>
    <w:p>
      <w:pPr>
        <w:pStyle w:val="Normal"/>
        <w:numPr>
          <w:ilvl w:val="0"/>
          <w:numId w:val="7"/>
        </w:numPr>
        <w:spacing w:lineRule="auto" w:line="259" w:before="0" w:after="0"/>
        <w:ind w:left="1440" w:right="65" w:hanging="360"/>
        <w:rPr/>
      </w:pPr>
      <w:r>
        <w:rPr/>
        <w:t>Taking down network while testing</w:t>
      </w:r>
    </w:p>
    <w:p>
      <w:pPr>
        <w:pStyle w:val="Normal"/>
        <w:numPr>
          <w:ilvl w:val="0"/>
          <w:numId w:val="7"/>
        </w:numPr>
        <w:spacing w:lineRule="auto" w:line="259" w:before="0" w:after="0"/>
        <w:ind w:left="1440" w:right="65" w:hanging="360"/>
        <w:rPr/>
      </w:pPr>
      <w:r>
        <w:rPr/>
        <w:t>Exposing potentially vulnerable machines to public network</w:t>
      </w:r>
    </w:p>
    <w:p>
      <w:pPr>
        <w:pStyle w:val="Normal"/>
        <w:spacing w:lineRule="auto" w:line="259" w:before="0" w:after="0"/>
        <w:ind w:left="730" w:right="65" w:hanging="0"/>
        <w:rPr/>
      </w:pPr>
      <w:r>
        <w:rPr/>
      </w:r>
    </w:p>
    <w:p>
      <w:pPr>
        <w:pStyle w:val="Normal"/>
        <w:spacing w:lineRule="auto" w:line="259" w:before="0" w:after="0"/>
        <w:ind w:left="720" w:right="0" w:hanging="0"/>
        <w:rPr/>
      </w:pPr>
      <w:r>
        <w:rPr/>
        <w:t xml:space="preserve"> </w:t>
      </w:r>
    </w:p>
    <w:p>
      <w:pPr>
        <w:sectPr>
          <w:type w:val="nextPage"/>
          <w:pgSz w:w="11906" w:h="16838"/>
          <w:pgMar w:left="1440" w:right="1374" w:gutter="0" w:header="0" w:top="1449" w:footer="0" w:bottom="757"/>
          <w:pgNumType w:fmt="decimal"/>
          <w:formProt w:val="false"/>
          <w:textDirection w:val="lrTb"/>
          <w:docGrid w:type="default" w:linePitch="100" w:charSpace="0"/>
        </w:sectPr>
        <w:pStyle w:val="Normal"/>
        <w:spacing w:lineRule="auto" w:line="259" w:before="0" w:after="0"/>
        <w:ind w:left="720" w:right="0" w:hanging="0"/>
        <w:rPr/>
      </w:pPr>
      <w:r>
        <w:rPr/>
        <w:t xml:space="preserve"> </w:t>
      </w:r>
    </w:p>
    <w:p>
      <w:pPr>
        <w:pStyle w:val="Heading1"/>
        <w:numPr>
          <w:ilvl w:val="0"/>
          <w:numId w:val="2"/>
        </w:numPr>
        <w:rPr/>
      </w:pPr>
      <w:r>
        <w:rPr/>
        <w:t xml:space="preserve">Roles and Responsibilities </w:t>
      </w:r>
    </w:p>
    <w:p>
      <w:pPr>
        <w:pStyle w:val="Normal"/>
        <w:rPr/>
      </w:pPr>
      <w:r>
        <w:rPr/>
      </w:r>
    </w:p>
    <w:tbl>
      <w:tblPr>
        <w:tblStyle w:val="TableGrid0"/>
        <w:tblW w:w="14160" w:type="dxa"/>
        <w:jc w:val="left"/>
        <w:tblInd w:w="1321" w:type="dxa"/>
        <w:tblLayout w:type="fixed"/>
        <w:tblCellMar>
          <w:top w:w="0" w:type="dxa"/>
          <w:left w:w="108" w:type="dxa"/>
          <w:bottom w:w="0" w:type="dxa"/>
          <w:right w:w="108" w:type="dxa"/>
        </w:tblCellMar>
        <w:tblLook w:val="04a0" w:noHBand="0" w:noVBand="1" w:firstColumn="1" w:lastRow="0" w:lastColumn="0" w:firstRow="1"/>
      </w:tblPr>
      <w:tblGrid>
        <w:gridCol w:w="1935"/>
        <w:gridCol w:w="1984"/>
        <w:gridCol w:w="10241"/>
      </w:tblGrid>
      <w:tr>
        <w:trPr/>
        <w:tc>
          <w:tcPr>
            <w:tcW w:w="1935" w:type="dxa"/>
            <w:tcBorders/>
          </w:tcPr>
          <w:p>
            <w:pPr>
              <w:pStyle w:val="Normal"/>
              <w:widowControl w:val="false"/>
              <w:suppressAutoHyphens w:val="true"/>
              <w:spacing w:lineRule="auto" w:line="259" w:before="0" w:after="177"/>
              <w:ind w:left="0" w:right="0" w:hanging="0"/>
              <w:jc w:val="left"/>
              <w:rPr>
                <w:b/>
                <w:b/>
              </w:rPr>
            </w:pPr>
            <w:r>
              <w:rPr>
                <w:b/>
                <w:kern w:val="0"/>
                <w:szCs w:val="22"/>
                <w:lang w:val="en-AU" w:eastAsia="en-AU" w:bidi="ar-SA"/>
              </w:rPr>
              <w:t>Name</w:t>
            </w:r>
          </w:p>
        </w:tc>
        <w:tc>
          <w:tcPr>
            <w:tcW w:w="1984" w:type="dxa"/>
            <w:tcBorders/>
          </w:tcPr>
          <w:p>
            <w:pPr>
              <w:pStyle w:val="Normal"/>
              <w:widowControl w:val="false"/>
              <w:suppressAutoHyphens w:val="true"/>
              <w:spacing w:lineRule="auto" w:line="259" w:before="0" w:after="177"/>
              <w:ind w:left="0" w:right="0" w:hanging="0"/>
              <w:jc w:val="left"/>
              <w:rPr>
                <w:b/>
                <w:b/>
              </w:rPr>
            </w:pPr>
            <w:r>
              <w:rPr>
                <w:b/>
                <w:kern w:val="0"/>
                <w:szCs w:val="22"/>
                <w:lang w:val="en-AU" w:eastAsia="en-AU" w:bidi="ar-SA"/>
              </w:rPr>
              <w:t>Project Role</w:t>
            </w:r>
          </w:p>
        </w:tc>
        <w:tc>
          <w:tcPr>
            <w:tcW w:w="10241" w:type="dxa"/>
            <w:tcBorders/>
          </w:tcPr>
          <w:p>
            <w:pPr>
              <w:pStyle w:val="Normal"/>
              <w:widowControl w:val="false"/>
              <w:suppressAutoHyphens w:val="true"/>
              <w:spacing w:lineRule="auto" w:line="259" w:before="0" w:after="177"/>
              <w:ind w:left="0" w:right="0" w:hanging="0"/>
              <w:jc w:val="left"/>
              <w:rPr>
                <w:b/>
                <w:b/>
              </w:rPr>
            </w:pPr>
            <w:r>
              <w:rPr>
                <w:b/>
                <w:kern w:val="0"/>
                <w:szCs w:val="22"/>
                <w:lang w:val="en-AU" w:eastAsia="en-AU" w:bidi="ar-SA"/>
              </w:rPr>
              <w:t>Responsibilities</w:t>
            </w:r>
          </w:p>
        </w:tc>
      </w:tr>
      <w:tr>
        <w:trPr/>
        <w:tc>
          <w:tcPr>
            <w:tcW w:w="1935" w:type="dxa"/>
            <w:tcBorders/>
          </w:tcPr>
          <w:p>
            <w:pPr>
              <w:pStyle w:val="Normal"/>
              <w:widowControl w:val="false"/>
              <w:suppressAutoHyphens w:val="true"/>
              <w:spacing w:lineRule="auto" w:line="259" w:before="0" w:after="177"/>
              <w:ind w:left="0" w:right="0" w:hanging="0"/>
              <w:jc w:val="left"/>
              <w:rPr>
                <w:strike/>
                <w:color w:val="FF0000"/>
              </w:rPr>
            </w:pPr>
            <w:r>
              <w:rPr>
                <w:kern w:val="0"/>
                <w:szCs w:val="22"/>
                <w:lang w:val="en-AU" w:eastAsia="en-AU" w:bidi="ar-SA"/>
              </w:rPr>
              <w:t>Elankayer Sithirasenan</w:t>
            </w:r>
          </w:p>
          <w:p>
            <w:pPr>
              <w:pStyle w:val="Normal"/>
              <w:widowControl w:val="false"/>
              <w:suppressAutoHyphens w:val="true"/>
              <w:spacing w:lineRule="auto" w:line="259" w:before="0" w:after="177"/>
              <w:ind w:left="0" w:right="0" w:hanging="0"/>
              <w:jc w:val="left"/>
              <w:rPr>
                <w:strike/>
                <w:color w:val="FF0000"/>
              </w:rPr>
            </w:pPr>
            <w:r>
              <w:rPr>
                <w:strike/>
                <w:color w:val="FF0000"/>
                <w:kern w:val="0"/>
                <w:szCs w:val="22"/>
                <w:lang w:val="en-AU" w:eastAsia="en-AU" w:bidi="ar-SA"/>
              </w:rPr>
            </w:r>
          </w:p>
        </w:tc>
        <w:tc>
          <w:tcPr>
            <w:tcW w:w="1984" w:type="dxa"/>
            <w:tcBorders/>
          </w:tcPr>
          <w:p>
            <w:pPr>
              <w:pStyle w:val="Normal"/>
              <w:widowControl w:val="false"/>
              <w:suppressAutoHyphens w:val="true"/>
              <w:spacing w:lineRule="auto" w:line="259" w:before="0" w:after="177"/>
              <w:ind w:left="0" w:right="0" w:hanging="0"/>
              <w:jc w:val="left"/>
              <w:rPr>
                <w:kern w:val="0"/>
                <w:szCs w:val="22"/>
                <w:lang w:val="en-AU" w:eastAsia="en-AU" w:bidi="ar-SA"/>
              </w:rPr>
            </w:pPr>
            <w:r>
              <w:rPr>
                <w:kern w:val="0"/>
                <w:szCs w:val="22"/>
                <w:lang w:val="en-AU" w:eastAsia="en-AU" w:bidi="ar-SA"/>
              </w:rPr>
              <w:t>Project Sponsor</w:t>
            </w:r>
          </w:p>
        </w:tc>
        <w:tc>
          <w:tcPr>
            <w:tcW w:w="10241" w:type="dxa"/>
            <w:tcBorders/>
          </w:tcPr>
          <w:p>
            <w:pPr>
              <w:pStyle w:val="Normal"/>
              <w:widowControl w:val="false"/>
              <w:suppressAutoHyphens w:val="true"/>
              <w:spacing w:lineRule="auto" w:line="259" w:before="0" w:after="177"/>
              <w:ind w:left="0" w:right="0" w:hanging="0"/>
              <w:jc w:val="left"/>
              <w:rPr>
                <w:kern w:val="0"/>
                <w:szCs w:val="22"/>
                <w:lang w:val="en-AU" w:eastAsia="en-AU" w:bidi="ar-SA"/>
              </w:rPr>
            </w:pPr>
            <w:r>
              <w:rPr>
                <w:kern w:val="0"/>
                <w:sz w:val="22"/>
                <w:szCs w:val="22"/>
                <w:lang w:val="en-AU" w:eastAsia="en-AU" w:bidi="ar-SA"/>
              </w:rPr>
              <w:t xml:space="preserve">Function as the liaison between projects team, and the client </w:t>
            </w:r>
            <w:r>
              <w:rPr>
                <w:color w:val="auto"/>
                <w:kern w:val="0"/>
                <w:szCs w:val="22"/>
                <w:lang w:val="en-AU" w:eastAsia="en-AU" w:bidi="ar-SA"/>
              </w:rPr>
              <w:t>Black Sabre Response</w:t>
            </w:r>
            <w:r>
              <w:rPr>
                <w:kern w:val="0"/>
                <w:sz w:val="22"/>
                <w:szCs w:val="22"/>
                <w:lang w:val="en-AU" w:eastAsia="en-AU" w:bidi="ar-SA"/>
              </w:rPr>
              <w:t>. This member aims to provide guidance and resource allocation for this project, in addition to any other project that they are overseeing.</w:t>
            </w:r>
          </w:p>
        </w:tc>
      </w:tr>
      <w:tr>
        <w:trPr/>
        <w:tc>
          <w:tcPr>
            <w:tcW w:w="1935" w:type="dxa"/>
            <w:tcBorders/>
          </w:tcPr>
          <w:p>
            <w:pPr>
              <w:pStyle w:val="Normal"/>
              <w:widowControl w:val="false"/>
              <w:suppressAutoHyphens w:val="true"/>
              <w:spacing w:lineRule="auto" w:line="259" w:before="0" w:after="177"/>
              <w:ind w:left="0" w:right="0" w:hanging="0"/>
              <w:jc w:val="left"/>
              <w:rPr>
                <w:kern w:val="0"/>
                <w:szCs w:val="22"/>
                <w:lang w:val="en-AU" w:eastAsia="en-AU" w:bidi="ar-SA"/>
              </w:rPr>
            </w:pPr>
            <w:r>
              <w:rPr>
                <w:kern w:val="0"/>
                <w:szCs w:val="22"/>
                <w:lang w:val="en-AU" w:eastAsia="en-AU" w:bidi="ar-SA"/>
              </w:rPr>
              <w:t>Syed Ahmed</w:t>
            </w:r>
          </w:p>
        </w:tc>
        <w:tc>
          <w:tcPr>
            <w:tcW w:w="1984" w:type="dxa"/>
            <w:tcBorders/>
          </w:tcPr>
          <w:p>
            <w:pPr>
              <w:pStyle w:val="Normal"/>
              <w:widowControl w:val="false"/>
              <w:suppressAutoHyphens w:val="true"/>
              <w:spacing w:lineRule="auto" w:line="259" w:before="0" w:after="177"/>
              <w:ind w:left="0" w:right="0" w:hanging="0"/>
              <w:jc w:val="left"/>
              <w:rPr>
                <w:kern w:val="0"/>
                <w:szCs w:val="22"/>
                <w:lang w:val="en-AU" w:eastAsia="en-AU" w:bidi="ar-SA"/>
              </w:rPr>
            </w:pPr>
            <w:r>
              <w:rPr>
                <w:kern w:val="0"/>
                <w:szCs w:val="22"/>
                <w:lang w:val="en-AU" w:eastAsia="en-AU" w:bidi="ar-SA"/>
              </w:rPr>
              <w:t>Project Manager</w:t>
            </w:r>
          </w:p>
        </w:tc>
        <w:tc>
          <w:tcPr>
            <w:tcW w:w="10241" w:type="dxa"/>
            <w:tcBorders/>
          </w:tcPr>
          <w:p>
            <w:pPr>
              <w:pStyle w:val="Normal"/>
              <w:widowControl w:val="false"/>
              <w:tabs>
                <w:tab w:val="clear" w:pos="720"/>
                <w:tab w:val="center" w:pos="1792" w:leader="none"/>
                <w:tab w:val="right" w:pos="15492" w:leader="none"/>
              </w:tabs>
              <w:suppressAutoHyphens w:val="true"/>
              <w:spacing w:before="0" w:after="17"/>
              <w:ind w:left="-15" w:right="0" w:hanging="0"/>
              <w:jc w:val="left"/>
              <w:rPr>
                <w:kern w:val="0"/>
                <w:szCs w:val="22"/>
                <w:lang w:val="en-AU" w:eastAsia="en-AU" w:bidi="ar-SA"/>
              </w:rPr>
            </w:pPr>
            <w:r>
              <w:rPr>
                <w:kern w:val="0"/>
                <w:sz w:val="22"/>
                <w:szCs w:val="22"/>
                <w:lang w:val="en-AU" w:eastAsia="en-AU" w:bidi="ar-SA"/>
              </w:rPr>
              <w:t xml:space="preserve">Oversee the daily function and performance of the project. They are to ensure that each stage of the project is completed to the standard and timings required to ensure that the project is completed as intended and within the scope the client and project sponsor has requested. </w:t>
            </w:r>
          </w:p>
        </w:tc>
      </w:tr>
      <w:tr>
        <w:trPr/>
        <w:tc>
          <w:tcPr>
            <w:tcW w:w="1935" w:type="dxa"/>
            <w:tcBorders/>
          </w:tcPr>
          <w:p>
            <w:pPr>
              <w:pStyle w:val="Normal"/>
              <w:widowControl w:val="false"/>
              <w:suppressAutoHyphens w:val="true"/>
              <w:spacing w:lineRule="auto" w:line="259" w:before="0" w:after="177"/>
              <w:ind w:left="0" w:right="0" w:hanging="0"/>
              <w:jc w:val="left"/>
              <w:rPr>
                <w:kern w:val="0"/>
                <w:szCs w:val="22"/>
                <w:lang w:val="en-AU" w:eastAsia="en-AU" w:bidi="ar-SA"/>
              </w:rPr>
            </w:pPr>
            <w:r>
              <w:rPr>
                <w:kern w:val="0"/>
                <w:szCs w:val="22"/>
                <w:lang w:val="en-AU" w:eastAsia="en-AU" w:bidi="ar-SA"/>
              </w:rPr>
              <w:t>Muzammil Bashir</w:t>
            </w:r>
          </w:p>
        </w:tc>
        <w:tc>
          <w:tcPr>
            <w:tcW w:w="1984" w:type="dxa"/>
            <w:tcBorders/>
          </w:tcPr>
          <w:p>
            <w:pPr>
              <w:pStyle w:val="Normal"/>
              <w:widowControl w:val="false"/>
              <w:suppressAutoHyphens w:val="true"/>
              <w:spacing w:lineRule="auto" w:line="259" w:before="0" w:after="177"/>
              <w:ind w:left="0" w:right="0" w:hanging="0"/>
              <w:jc w:val="left"/>
              <w:rPr>
                <w:kern w:val="0"/>
                <w:szCs w:val="22"/>
                <w:lang w:val="en-AU" w:eastAsia="en-AU" w:bidi="ar-SA"/>
              </w:rPr>
            </w:pPr>
            <w:r>
              <w:rPr>
                <w:kern w:val="0"/>
                <w:szCs w:val="22"/>
                <w:lang w:val="en-AU" w:eastAsia="en-AU" w:bidi="ar-SA"/>
              </w:rPr>
              <w:t>Communication Manager</w:t>
            </w:r>
          </w:p>
        </w:tc>
        <w:tc>
          <w:tcPr>
            <w:tcW w:w="10241" w:type="dxa"/>
            <w:tcBorders/>
          </w:tcPr>
          <w:p>
            <w:pPr>
              <w:pStyle w:val="Normal"/>
              <w:widowControl w:val="false"/>
              <w:tabs>
                <w:tab w:val="clear" w:pos="720"/>
                <w:tab w:val="center" w:pos="1792" w:leader="none"/>
                <w:tab w:val="right" w:pos="15492" w:leader="none"/>
              </w:tabs>
              <w:suppressAutoHyphens w:val="true"/>
              <w:spacing w:before="0" w:after="17"/>
              <w:ind w:left="-15" w:right="0" w:hanging="0"/>
              <w:jc w:val="left"/>
              <w:rPr>
                <w:kern w:val="0"/>
                <w:szCs w:val="22"/>
                <w:lang w:val="en-AU" w:eastAsia="en-AU" w:bidi="ar-SA"/>
              </w:rPr>
            </w:pPr>
            <w:r>
              <w:rPr>
                <w:kern w:val="0"/>
                <w:szCs w:val="22"/>
                <w:lang w:val="en-AU" w:eastAsia="en-AU" w:bidi="ar-SA"/>
              </w:rPr>
              <w:t>Responsible for managing communication between Sponsor and Team and ensuring all information is conveyed to the required members.</w:t>
            </w:r>
          </w:p>
        </w:tc>
      </w:tr>
      <w:tr>
        <w:trPr/>
        <w:tc>
          <w:tcPr>
            <w:tcW w:w="1935" w:type="dxa"/>
            <w:tcBorders/>
          </w:tcPr>
          <w:p>
            <w:pPr>
              <w:pStyle w:val="Normal"/>
              <w:widowControl w:val="false"/>
              <w:suppressAutoHyphens w:val="true"/>
              <w:spacing w:lineRule="auto" w:line="259" w:before="0" w:after="177"/>
              <w:ind w:left="0" w:right="0" w:hanging="0"/>
              <w:jc w:val="left"/>
              <w:rPr>
                <w:kern w:val="0"/>
                <w:szCs w:val="22"/>
                <w:lang w:val="en-AU" w:eastAsia="en-AU" w:bidi="ar-SA"/>
              </w:rPr>
            </w:pPr>
            <w:r>
              <w:rPr>
                <w:kern w:val="0"/>
                <w:szCs w:val="22"/>
                <w:lang w:val="en-AU" w:eastAsia="en-AU" w:bidi="ar-SA"/>
              </w:rPr>
              <w:t>Dylan Wondal</w:t>
            </w:r>
          </w:p>
        </w:tc>
        <w:tc>
          <w:tcPr>
            <w:tcW w:w="1984" w:type="dxa"/>
            <w:tcBorders/>
          </w:tcPr>
          <w:p>
            <w:pPr>
              <w:pStyle w:val="Normal"/>
              <w:widowControl w:val="false"/>
              <w:suppressAutoHyphens w:val="true"/>
              <w:spacing w:lineRule="auto" w:line="259" w:before="0" w:after="177"/>
              <w:ind w:left="0" w:right="0" w:hanging="0"/>
              <w:jc w:val="left"/>
              <w:rPr>
                <w:kern w:val="0"/>
                <w:szCs w:val="22"/>
                <w:lang w:val="en-AU" w:eastAsia="en-AU" w:bidi="ar-SA"/>
              </w:rPr>
            </w:pPr>
            <w:r>
              <w:rPr>
                <w:kern w:val="0"/>
                <w:szCs w:val="22"/>
                <w:lang w:val="en-AU" w:eastAsia="en-AU" w:bidi="ar-SA"/>
              </w:rPr>
              <w:t>Red Team Lead</w:t>
            </w:r>
          </w:p>
        </w:tc>
        <w:tc>
          <w:tcPr>
            <w:tcW w:w="10241" w:type="dxa"/>
            <w:tcBorders/>
          </w:tcPr>
          <w:p>
            <w:pPr>
              <w:pStyle w:val="Normal"/>
              <w:widowControl w:val="false"/>
              <w:tabs>
                <w:tab w:val="clear" w:pos="720"/>
                <w:tab w:val="center" w:pos="1792" w:leader="none"/>
                <w:tab w:val="right" w:pos="15492" w:leader="none"/>
              </w:tabs>
              <w:suppressAutoHyphens w:val="true"/>
              <w:spacing w:before="0" w:after="17"/>
              <w:ind w:left="-15" w:right="0" w:hanging="0"/>
              <w:jc w:val="left"/>
              <w:rPr>
                <w:kern w:val="0"/>
                <w:szCs w:val="22"/>
                <w:lang w:val="en-AU" w:eastAsia="en-AU" w:bidi="ar-SA"/>
              </w:rPr>
            </w:pPr>
            <w:r>
              <w:rPr>
                <w:kern w:val="0"/>
                <w:sz w:val="22"/>
                <w:szCs w:val="22"/>
                <w:lang w:val="en-AU" w:eastAsia="en-AU" w:bidi="ar-SA"/>
              </w:rPr>
              <w:t>The red team technical lead is responsible for overseeing the creation, testing and auditing of the red team playbooks that will be generated within this project. This member is to work with the red team technical writer to generate these documents. As the team leader, this member is to ensure that these are done within the times outlined in the project schedule. The team leader is to liaise with the project manager throughout the conduct of this project.</w:t>
            </w:r>
          </w:p>
        </w:tc>
      </w:tr>
      <w:tr>
        <w:trPr/>
        <w:tc>
          <w:tcPr>
            <w:tcW w:w="1935" w:type="dxa"/>
            <w:tcBorders/>
          </w:tcPr>
          <w:p>
            <w:pPr>
              <w:pStyle w:val="Normal"/>
              <w:widowControl w:val="false"/>
              <w:suppressAutoHyphens w:val="true"/>
              <w:spacing w:lineRule="auto" w:line="259" w:before="0" w:after="177"/>
              <w:ind w:left="0" w:right="0" w:hanging="0"/>
              <w:jc w:val="left"/>
              <w:rPr>
                <w:kern w:val="0"/>
                <w:szCs w:val="22"/>
                <w:lang w:val="en-AU" w:eastAsia="en-AU" w:bidi="ar-SA"/>
              </w:rPr>
            </w:pPr>
            <w:r>
              <w:rPr>
                <w:kern w:val="0"/>
                <w:szCs w:val="22"/>
                <w:lang w:val="en-AU" w:eastAsia="en-AU" w:bidi="ar-SA"/>
              </w:rPr>
              <w:t>Braedyn Murtagh</w:t>
            </w:r>
          </w:p>
        </w:tc>
        <w:tc>
          <w:tcPr>
            <w:tcW w:w="1984" w:type="dxa"/>
            <w:tcBorders/>
          </w:tcPr>
          <w:p>
            <w:pPr>
              <w:pStyle w:val="Normal"/>
              <w:widowControl w:val="false"/>
              <w:suppressAutoHyphens w:val="true"/>
              <w:spacing w:lineRule="auto" w:line="259" w:before="0" w:after="177"/>
              <w:ind w:left="0" w:right="0" w:hanging="0"/>
              <w:jc w:val="left"/>
              <w:rPr>
                <w:kern w:val="0"/>
                <w:szCs w:val="22"/>
                <w:lang w:val="en-AU" w:eastAsia="en-AU" w:bidi="ar-SA"/>
              </w:rPr>
            </w:pPr>
            <w:r>
              <w:rPr>
                <w:kern w:val="0"/>
                <w:szCs w:val="22"/>
                <w:lang w:val="en-AU" w:eastAsia="en-AU" w:bidi="ar-SA"/>
              </w:rPr>
              <w:t>Blue Team Lead</w:t>
            </w:r>
          </w:p>
        </w:tc>
        <w:tc>
          <w:tcPr>
            <w:tcW w:w="10241" w:type="dxa"/>
            <w:tcBorders/>
          </w:tcPr>
          <w:p>
            <w:pPr>
              <w:pStyle w:val="Normal"/>
              <w:widowControl w:val="false"/>
              <w:tabs>
                <w:tab w:val="clear" w:pos="720"/>
                <w:tab w:val="center" w:pos="1792" w:leader="none"/>
                <w:tab w:val="right" w:pos="15492" w:leader="none"/>
              </w:tabs>
              <w:suppressAutoHyphens w:val="true"/>
              <w:spacing w:before="0" w:after="17"/>
              <w:ind w:left="-15" w:right="0" w:hanging="0"/>
              <w:jc w:val="left"/>
              <w:rPr>
                <w:kern w:val="0"/>
                <w:szCs w:val="22"/>
                <w:lang w:val="en-AU" w:eastAsia="en-AU" w:bidi="ar-SA"/>
              </w:rPr>
            </w:pPr>
            <w:r>
              <w:rPr>
                <w:kern w:val="0"/>
                <w:sz w:val="22"/>
                <w:szCs w:val="22"/>
                <w:lang w:val="en-AU" w:eastAsia="en-AU" w:bidi="ar-SA"/>
              </w:rPr>
              <w:t>The blue team technical lead is responsible for overseeing the creation, testing and auditing of the blue team playbooks that will be generated within this project. This member is to work with the blue team technical writer to generate these documents. As the team leader, this member is to ensure that these are done within the times outlined in the project schedule. The team leader is to liaise with the project manager throughout the conduct of this project.</w:t>
            </w:r>
          </w:p>
        </w:tc>
      </w:tr>
    </w:tbl>
    <w:p>
      <w:pPr>
        <w:pStyle w:val="Normal"/>
        <w:spacing w:lineRule="auto" w:line="259" w:before="0" w:after="177"/>
        <w:ind w:left="1321" w:right="0" w:hanging="0"/>
        <w:rPr/>
      </w:pPr>
      <w:r>
        <w:rPr/>
      </w:r>
    </w:p>
    <w:sectPr>
      <w:type w:val="nextPage"/>
      <w:pgSz w:orient="landscape" w:w="16838" w:h="11906"/>
      <w:pgMar w:left="839" w:right="508" w:gutter="0" w:header="0" w:top="1445" w:footer="0" w:bottom="70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7"/>
      <w:numFmt w:val="decimal"/>
      <w:lvlText w:val="%1"/>
      <w:lvlJc w:val="left"/>
      <w:pPr>
        <w:tabs>
          <w:tab w:val="num" w:pos="0"/>
        </w:tabs>
        <w:ind w:left="405" w:hanging="405"/>
      </w:pPr>
      <w:rPr>
        <w:sz w:val="28"/>
        <w:b/>
      </w:rPr>
    </w:lvl>
    <w:lvl w:ilvl="1">
      <w:start w:val="1"/>
      <w:numFmt w:val="decimal"/>
      <w:lvlText w:val="%1.%2"/>
      <w:lvlJc w:val="left"/>
      <w:pPr>
        <w:tabs>
          <w:tab w:val="num" w:pos="0"/>
        </w:tabs>
        <w:ind w:left="1215" w:hanging="405"/>
      </w:pPr>
      <w:rPr>
        <w:sz w:val="28"/>
        <w:b/>
      </w:rPr>
    </w:lvl>
    <w:lvl w:ilvl="2">
      <w:start w:val="1"/>
      <w:numFmt w:val="decimal"/>
      <w:lvlText w:val="%1.%2.%3"/>
      <w:lvlJc w:val="left"/>
      <w:pPr>
        <w:tabs>
          <w:tab w:val="num" w:pos="0"/>
        </w:tabs>
        <w:ind w:left="2340" w:hanging="720"/>
      </w:pPr>
      <w:rPr>
        <w:sz w:val="28"/>
        <w:b/>
      </w:rPr>
    </w:lvl>
    <w:lvl w:ilvl="3">
      <w:start w:val="1"/>
      <w:numFmt w:val="decimal"/>
      <w:lvlText w:val="%1.%2.%3.%4"/>
      <w:lvlJc w:val="left"/>
      <w:pPr>
        <w:tabs>
          <w:tab w:val="num" w:pos="0"/>
        </w:tabs>
        <w:ind w:left="3510" w:hanging="1080"/>
      </w:pPr>
      <w:rPr>
        <w:sz w:val="28"/>
        <w:b/>
      </w:rPr>
    </w:lvl>
    <w:lvl w:ilvl="4">
      <w:start w:val="1"/>
      <w:numFmt w:val="decimal"/>
      <w:lvlText w:val="%1.%2.%3.%4.%5"/>
      <w:lvlJc w:val="left"/>
      <w:pPr>
        <w:tabs>
          <w:tab w:val="num" w:pos="0"/>
        </w:tabs>
        <w:ind w:left="4320" w:hanging="1080"/>
      </w:pPr>
      <w:rPr>
        <w:sz w:val="28"/>
        <w:b/>
      </w:rPr>
    </w:lvl>
    <w:lvl w:ilvl="5">
      <w:start w:val="1"/>
      <w:numFmt w:val="decimal"/>
      <w:lvlText w:val="%1.%2.%3.%4.%5.%6"/>
      <w:lvlJc w:val="left"/>
      <w:pPr>
        <w:tabs>
          <w:tab w:val="num" w:pos="0"/>
        </w:tabs>
        <w:ind w:left="5490" w:hanging="1440"/>
      </w:pPr>
      <w:rPr>
        <w:sz w:val="28"/>
        <w:b/>
      </w:rPr>
    </w:lvl>
    <w:lvl w:ilvl="6">
      <w:start w:val="1"/>
      <w:numFmt w:val="decimal"/>
      <w:lvlText w:val="%1.%2.%3.%4.%5.%6.%7"/>
      <w:lvlJc w:val="left"/>
      <w:pPr>
        <w:tabs>
          <w:tab w:val="num" w:pos="0"/>
        </w:tabs>
        <w:ind w:left="6300" w:hanging="1440"/>
      </w:pPr>
      <w:rPr>
        <w:sz w:val="28"/>
        <w:b/>
      </w:rPr>
    </w:lvl>
    <w:lvl w:ilvl="7">
      <w:start w:val="1"/>
      <w:numFmt w:val="decimal"/>
      <w:lvlText w:val="%1.%2.%3.%4.%5.%6.%7.%8"/>
      <w:lvlJc w:val="left"/>
      <w:pPr>
        <w:tabs>
          <w:tab w:val="num" w:pos="0"/>
        </w:tabs>
        <w:ind w:left="7470" w:hanging="1800"/>
      </w:pPr>
      <w:rPr>
        <w:sz w:val="28"/>
        <w:b/>
      </w:rPr>
    </w:lvl>
    <w:lvl w:ilvl="8">
      <w:start w:val="1"/>
      <w:numFmt w:val="decimal"/>
      <w:lvlText w:val="%1.%2.%3.%4.%5.%6.%7.%8.%9"/>
      <w:lvlJc w:val="left"/>
      <w:pPr>
        <w:tabs>
          <w:tab w:val="num" w:pos="0"/>
        </w:tabs>
        <w:ind w:left="8280" w:hanging="1800"/>
      </w:pPr>
      <w:rPr>
        <w:sz w:val="28"/>
        <w:b/>
      </w:rPr>
    </w:lvl>
  </w:abstractNum>
  <w:abstractNum w:abstractNumId="2">
    <w:lvl w:ilvl="0">
      <w:start w:val="8"/>
      <w:numFmt w:val="decimal"/>
      <w:lvlText w:val="%1."/>
      <w:lvlJc w:val="left"/>
      <w:pPr>
        <w:tabs>
          <w:tab w:val="num" w:pos="0"/>
        </w:tabs>
        <w:ind w:left="405" w:hanging="405"/>
      </w:pPr>
      <w:rPr>
        <w:sz w:val="28"/>
        <w:b/>
      </w:rPr>
    </w:lvl>
    <w:lvl w:ilvl="1">
      <w:start w:val="1"/>
      <w:numFmt w:val="decimal"/>
      <w:lvlText w:val="%1.%2"/>
      <w:lvlJc w:val="left"/>
      <w:pPr>
        <w:tabs>
          <w:tab w:val="num" w:pos="0"/>
        </w:tabs>
        <w:ind w:left="1215" w:hanging="405"/>
      </w:pPr>
      <w:rPr>
        <w:sz w:val="28"/>
        <w:b/>
      </w:rPr>
    </w:lvl>
    <w:lvl w:ilvl="2">
      <w:start w:val="1"/>
      <w:numFmt w:val="decimal"/>
      <w:lvlText w:val="%1.%2.%3"/>
      <w:lvlJc w:val="left"/>
      <w:pPr>
        <w:tabs>
          <w:tab w:val="num" w:pos="0"/>
        </w:tabs>
        <w:ind w:left="2340" w:hanging="720"/>
      </w:pPr>
      <w:rPr>
        <w:sz w:val="28"/>
        <w:b/>
      </w:rPr>
    </w:lvl>
    <w:lvl w:ilvl="3">
      <w:start w:val="1"/>
      <w:numFmt w:val="decimal"/>
      <w:lvlText w:val="%1.%2.%3.%4"/>
      <w:lvlJc w:val="left"/>
      <w:pPr>
        <w:tabs>
          <w:tab w:val="num" w:pos="0"/>
        </w:tabs>
        <w:ind w:left="3510" w:hanging="1080"/>
      </w:pPr>
      <w:rPr>
        <w:sz w:val="28"/>
        <w:b/>
      </w:rPr>
    </w:lvl>
    <w:lvl w:ilvl="4">
      <w:start w:val="1"/>
      <w:numFmt w:val="decimal"/>
      <w:lvlText w:val="%1.%2.%3.%4.%5"/>
      <w:lvlJc w:val="left"/>
      <w:pPr>
        <w:tabs>
          <w:tab w:val="num" w:pos="0"/>
        </w:tabs>
        <w:ind w:left="4320" w:hanging="1080"/>
      </w:pPr>
      <w:rPr>
        <w:sz w:val="28"/>
        <w:b/>
      </w:rPr>
    </w:lvl>
    <w:lvl w:ilvl="5">
      <w:start w:val="1"/>
      <w:numFmt w:val="decimal"/>
      <w:lvlText w:val="%1.%2.%3.%4.%5.%6"/>
      <w:lvlJc w:val="left"/>
      <w:pPr>
        <w:tabs>
          <w:tab w:val="num" w:pos="0"/>
        </w:tabs>
        <w:ind w:left="5490" w:hanging="1440"/>
      </w:pPr>
      <w:rPr>
        <w:sz w:val="28"/>
        <w:b/>
      </w:rPr>
    </w:lvl>
    <w:lvl w:ilvl="6">
      <w:start w:val="1"/>
      <w:numFmt w:val="decimal"/>
      <w:lvlText w:val="%1.%2.%3.%4.%5.%6.%7"/>
      <w:lvlJc w:val="left"/>
      <w:pPr>
        <w:tabs>
          <w:tab w:val="num" w:pos="0"/>
        </w:tabs>
        <w:ind w:left="6300" w:hanging="1440"/>
      </w:pPr>
      <w:rPr>
        <w:sz w:val="28"/>
        <w:b/>
      </w:rPr>
    </w:lvl>
    <w:lvl w:ilvl="7">
      <w:start w:val="1"/>
      <w:numFmt w:val="decimal"/>
      <w:lvlText w:val="%1.%2.%3.%4.%5.%6.%7.%8"/>
      <w:lvlJc w:val="left"/>
      <w:pPr>
        <w:tabs>
          <w:tab w:val="num" w:pos="0"/>
        </w:tabs>
        <w:ind w:left="7470" w:hanging="1800"/>
      </w:pPr>
      <w:rPr>
        <w:sz w:val="28"/>
        <w:b/>
      </w:rPr>
    </w:lvl>
    <w:lvl w:ilvl="8">
      <w:start w:val="1"/>
      <w:numFmt w:val="decimal"/>
      <w:lvlText w:val="%1.%2.%3.%4.%5.%6.%7.%8.%9"/>
      <w:lvlJc w:val="left"/>
      <w:pPr>
        <w:tabs>
          <w:tab w:val="num" w:pos="0"/>
        </w:tabs>
        <w:ind w:left="8280" w:hanging="1800"/>
      </w:pPr>
      <w:rPr>
        <w:sz w:val="28"/>
        <w:b/>
      </w:rPr>
    </w:lvl>
  </w:abstractNum>
  <w:abstractNum w:abstractNumId="3">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bullet"/>
      <w:lvlText w:val=""/>
      <w:lvlJc w:val="left"/>
      <w:pPr>
        <w:tabs>
          <w:tab w:val="num" w:pos="1430"/>
        </w:tabs>
        <w:ind w:left="1430" w:hanging="360"/>
      </w:pPr>
      <w:rPr>
        <w:rFonts w:ascii="Symbol" w:hAnsi="Symbol" w:cs="Symbol" w:hint="default"/>
      </w:rPr>
    </w:lvl>
    <w:lvl w:ilvl="1">
      <w:start w:val="1"/>
      <w:numFmt w:val="bullet"/>
      <w:lvlText w:val="◦"/>
      <w:lvlJc w:val="left"/>
      <w:pPr>
        <w:tabs>
          <w:tab w:val="num" w:pos="1790"/>
        </w:tabs>
        <w:ind w:left="1790" w:hanging="360"/>
      </w:pPr>
      <w:rPr>
        <w:rFonts w:ascii="OpenSymbol" w:hAnsi="OpenSymbol" w:cs="OpenSymbol" w:hint="default"/>
      </w:rPr>
    </w:lvl>
    <w:lvl w:ilvl="2">
      <w:start w:val="1"/>
      <w:numFmt w:val="bullet"/>
      <w:lvlText w:val="▪"/>
      <w:lvlJc w:val="left"/>
      <w:pPr>
        <w:tabs>
          <w:tab w:val="num" w:pos="2150"/>
        </w:tabs>
        <w:ind w:left="2150" w:hanging="360"/>
      </w:pPr>
      <w:rPr>
        <w:rFonts w:ascii="OpenSymbol" w:hAnsi="OpenSymbol" w:cs="OpenSymbol" w:hint="default"/>
      </w:rPr>
    </w:lvl>
    <w:lvl w:ilvl="3">
      <w:start w:val="1"/>
      <w:numFmt w:val="bullet"/>
      <w:lvlText w:val=""/>
      <w:lvlJc w:val="left"/>
      <w:pPr>
        <w:tabs>
          <w:tab w:val="num" w:pos="2510"/>
        </w:tabs>
        <w:ind w:left="2510" w:hanging="360"/>
      </w:pPr>
      <w:rPr>
        <w:rFonts w:ascii="Symbol" w:hAnsi="Symbol" w:cs="Symbol" w:hint="default"/>
      </w:rPr>
    </w:lvl>
    <w:lvl w:ilvl="4">
      <w:start w:val="1"/>
      <w:numFmt w:val="bullet"/>
      <w:lvlText w:val="◦"/>
      <w:lvlJc w:val="left"/>
      <w:pPr>
        <w:tabs>
          <w:tab w:val="num" w:pos="2870"/>
        </w:tabs>
        <w:ind w:left="2870" w:hanging="360"/>
      </w:pPr>
      <w:rPr>
        <w:rFonts w:ascii="OpenSymbol" w:hAnsi="OpenSymbol" w:cs="OpenSymbol" w:hint="default"/>
      </w:rPr>
    </w:lvl>
    <w:lvl w:ilvl="5">
      <w:start w:val="1"/>
      <w:numFmt w:val="bullet"/>
      <w:lvlText w:val="▪"/>
      <w:lvlJc w:val="left"/>
      <w:pPr>
        <w:tabs>
          <w:tab w:val="num" w:pos="3230"/>
        </w:tabs>
        <w:ind w:left="3230" w:hanging="360"/>
      </w:pPr>
      <w:rPr>
        <w:rFonts w:ascii="OpenSymbol" w:hAnsi="OpenSymbol" w:cs="OpenSymbol" w:hint="default"/>
      </w:rPr>
    </w:lvl>
    <w:lvl w:ilvl="6">
      <w:start w:val="1"/>
      <w:numFmt w:val="bullet"/>
      <w:lvlText w:val=""/>
      <w:lvlJc w:val="left"/>
      <w:pPr>
        <w:tabs>
          <w:tab w:val="num" w:pos="3590"/>
        </w:tabs>
        <w:ind w:left="3590" w:hanging="360"/>
      </w:pPr>
      <w:rPr>
        <w:rFonts w:ascii="Symbol" w:hAnsi="Symbol" w:cs="Symbol" w:hint="default"/>
      </w:rPr>
    </w:lvl>
    <w:lvl w:ilvl="7">
      <w:start w:val="1"/>
      <w:numFmt w:val="bullet"/>
      <w:lvlText w:val="◦"/>
      <w:lvlJc w:val="left"/>
      <w:pPr>
        <w:tabs>
          <w:tab w:val="num" w:pos="3950"/>
        </w:tabs>
        <w:ind w:left="3950" w:hanging="360"/>
      </w:pPr>
      <w:rPr>
        <w:rFonts w:ascii="OpenSymbol" w:hAnsi="OpenSymbol" w:cs="OpenSymbol" w:hint="default"/>
      </w:rPr>
    </w:lvl>
    <w:lvl w:ilvl="8">
      <w:start w:val="1"/>
      <w:numFmt w:val="bullet"/>
      <w:lvlText w:val="▪"/>
      <w:lvlJc w:val="left"/>
      <w:pPr>
        <w:tabs>
          <w:tab w:val="num" w:pos="4310"/>
        </w:tabs>
        <w:ind w:left="4310" w:hanging="360"/>
      </w:pPr>
      <w:rPr>
        <w:rFonts w:ascii="OpenSymbol" w:hAnsi="OpenSymbol" w:cs="OpenSymbol" w:hint="default"/>
      </w:rPr>
    </w:lvl>
  </w:abstractNum>
  <w:abstractNum w:abstractNumId="7">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2" w:before="0" w:after="5"/>
      <w:ind w:left="730" w:right="65" w:hanging="10"/>
      <w:jc w:val="left"/>
    </w:pPr>
    <w:rPr>
      <w:rFonts w:ascii="Arial" w:hAnsi="Arial" w:eastAsia="Arial" w:cs="Arial"/>
      <w:color w:val="000000"/>
      <w:kern w:val="0"/>
      <w:sz w:val="24"/>
      <w:szCs w:val="22"/>
      <w:lang w:val="en-AU" w:eastAsia="en-AU" w:bidi="ar-SA"/>
    </w:rPr>
  </w:style>
  <w:style w:type="paragraph" w:styleId="Heading1">
    <w:name w:val="Heading 1"/>
    <w:next w:val="Normal"/>
    <w:link w:val="Heading1Char"/>
    <w:uiPriority w:val="9"/>
    <w:unhideWhenUsed/>
    <w:qFormat/>
    <w:pPr>
      <w:keepNext w:val="true"/>
      <w:keepLines/>
      <w:widowControl/>
      <w:suppressAutoHyphens w:val="true"/>
      <w:bidi w:val="0"/>
      <w:spacing w:lineRule="auto" w:line="259" w:before="0" w:after="0"/>
      <w:ind w:left="370" w:hanging="10"/>
      <w:jc w:val="left"/>
      <w:outlineLvl w:val="0"/>
    </w:pPr>
    <w:rPr>
      <w:rFonts w:ascii="Arial" w:hAnsi="Arial" w:eastAsia="Arial" w:cs="Arial"/>
      <w:b/>
      <w:color w:val="000000"/>
      <w:kern w:val="0"/>
      <w:sz w:val="32"/>
      <w:szCs w:val="22"/>
      <w:lang w:val="en-AU" w:eastAsia="en-AU" w:bidi="ar-SA"/>
    </w:rPr>
  </w:style>
  <w:style w:type="paragraph" w:styleId="Heading2">
    <w:name w:val="Heading 2"/>
    <w:next w:val="Normal"/>
    <w:link w:val="Heading2Char"/>
    <w:uiPriority w:val="9"/>
    <w:unhideWhenUsed/>
    <w:qFormat/>
    <w:pPr>
      <w:keepNext w:val="true"/>
      <w:keepLines/>
      <w:widowControl/>
      <w:suppressAutoHyphens w:val="true"/>
      <w:bidi w:val="0"/>
      <w:spacing w:lineRule="auto" w:line="259" w:before="0" w:after="4"/>
      <w:ind w:left="730" w:hanging="10"/>
      <w:jc w:val="left"/>
      <w:outlineLvl w:val="1"/>
    </w:pPr>
    <w:rPr>
      <w:rFonts w:ascii="Arial" w:hAnsi="Arial" w:eastAsia="Arial" w:cs="Arial"/>
      <w:b/>
      <w:color w:val="000000"/>
      <w:kern w:val="0"/>
      <w:sz w:val="28"/>
      <w:szCs w:val="22"/>
      <w:lang w:val="en-AU" w:eastAsia="en-AU" w:bidi="ar-SA"/>
    </w:rPr>
  </w:style>
  <w:style w:type="paragraph" w:styleId="Heading3">
    <w:name w:val="Heading 3"/>
    <w:next w:val="Normal"/>
    <w:link w:val="Heading3Char"/>
    <w:uiPriority w:val="9"/>
    <w:unhideWhenUsed/>
    <w:qFormat/>
    <w:pPr>
      <w:keepNext w:val="true"/>
      <w:keepLines/>
      <w:widowControl/>
      <w:suppressAutoHyphens w:val="true"/>
      <w:bidi w:val="0"/>
      <w:spacing w:lineRule="auto" w:line="259" w:before="0" w:after="4"/>
      <w:ind w:left="730" w:hanging="10"/>
      <w:jc w:val="left"/>
      <w:outlineLvl w:val="2"/>
    </w:pPr>
    <w:rPr>
      <w:rFonts w:ascii="Arial" w:hAnsi="Arial" w:eastAsia="Arial" w:cs="Arial"/>
      <w:b/>
      <w:color w:val="000000"/>
      <w:kern w:val="0"/>
      <w:sz w:val="28"/>
      <w:szCs w:val="22"/>
      <w:lang w:val="en-AU" w:eastAsia="en-AU"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Arial" w:hAnsi="Arial" w:eastAsia="Arial" w:cs="Arial"/>
      <w:b/>
      <w:color w:val="000000"/>
      <w:sz w:val="32"/>
    </w:rPr>
  </w:style>
  <w:style w:type="character" w:styleId="Heading2Char" w:customStyle="1">
    <w:name w:val="Heading 2 Char"/>
    <w:link w:val="Heading2"/>
    <w:qFormat/>
    <w:rPr>
      <w:rFonts w:ascii="Arial" w:hAnsi="Arial" w:eastAsia="Arial" w:cs="Arial"/>
      <w:b/>
      <w:color w:val="000000"/>
      <w:sz w:val="28"/>
    </w:rPr>
  </w:style>
  <w:style w:type="character" w:styleId="Heading3Char" w:customStyle="1">
    <w:name w:val="Heading 3 Char"/>
    <w:link w:val="Heading3"/>
    <w:qFormat/>
    <w:rPr>
      <w:rFonts w:ascii="Arial" w:hAnsi="Arial" w:eastAsia="Arial" w:cs="Arial"/>
      <w:b/>
      <w:color w:val="000000"/>
      <w:sz w:val="28"/>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Cs w:val="24"/>
    </w:rPr>
  </w:style>
  <w:style w:type="paragraph" w:styleId="ListParagraph">
    <w:name w:val="List Paragraph"/>
    <w:basedOn w:val="Normal"/>
    <w:uiPriority w:val="34"/>
    <w:qFormat/>
    <w:rsid w:val="00be2f49"/>
    <w:pPr>
      <w:spacing w:before="0" w:after="5"/>
      <w:ind w:left="720" w:right="65" w:hanging="1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39"/>
    <w:rsid w:val="00be2f4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112067"/>
    <w:rPr>
      <w:rFonts w:eastAsiaTheme="minorHAnsi"/>
      <w:lang w:val="en-CA" w:eastAsia="en-US"/>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Pr/>
    </w:tblStylePr>
    <w:tblStylePr w:type="lastCol">
      <w:rPr>
        <w:b/>
        <w:bCs/>
      </w:rPr>
      <w:tbl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FBDA7D60A976429D02C7640092E59E" ma:contentTypeVersion="14" ma:contentTypeDescription="Create a new document." ma:contentTypeScope="" ma:versionID="3c874dacf6d518affcae55282124d7bb">
  <xsd:schema xmlns:xsd="http://www.w3.org/2001/XMLSchema" xmlns:xs="http://www.w3.org/2001/XMLSchema" xmlns:p="http://schemas.microsoft.com/office/2006/metadata/properties" xmlns:ns2="db381a69-ce3e-4f16-b592-2e22854a1e13" xmlns:ns3="7327892f-fec6-4cb6-8e71-f8d8054844c3" targetNamespace="http://schemas.microsoft.com/office/2006/metadata/properties" ma:root="true" ma:fieldsID="da1d7f46750498f420910a5c6201b19d" ns2:_="" ns3:_="">
    <xsd:import namespace="db381a69-ce3e-4f16-b592-2e22854a1e13"/>
    <xsd:import namespace="7327892f-fec6-4cb6-8e71-f8d8054844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381a69-ce3e-4f16-b592-2e22854a1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27892f-fec6-4cb6-8e71-f8d8054844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618a0cbc-0e17-4806-9eb3-aa85c3324108}" ma:internalName="TaxCatchAll" ma:showField="CatchAllData" ma:web="7327892f-fec6-4cb6-8e71-f8d8054844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b381a69-ce3e-4f16-b592-2e22854a1e13">
      <Terms xmlns="http://schemas.microsoft.com/office/infopath/2007/PartnerControls"/>
    </lcf76f155ced4ddcb4097134ff3c332f>
    <TaxCatchAll xmlns="7327892f-fec6-4cb6-8e71-f8d8054844c3" xsi:nil="true"/>
    <SharedWithUsers xmlns="7327892f-fec6-4cb6-8e71-f8d8054844c3">
      <UserInfo>
        <DisplayName/>
        <AccountId xsi:nil="true"/>
        <AccountType/>
      </UserInfo>
    </SharedWithUsers>
  </documentManagement>
</p:properties>
</file>

<file path=customXml/itemProps1.xml><?xml version="1.0" encoding="utf-8"?>
<ds:datastoreItem xmlns:ds="http://schemas.openxmlformats.org/officeDocument/2006/customXml" ds:itemID="{E7819755-5A8C-4C77-AC13-F2340770AD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381a69-ce3e-4f16-b592-2e22854a1e13"/>
    <ds:schemaRef ds:uri="7327892f-fec6-4cb6-8e71-f8d8054844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A8B242-8728-4221-A066-A354FEC57018}">
  <ds:schemaRefs>
    <ds:schemaRef ds:uri="http://schemas.microsoft.com/sharepoint/v3/contenttype/forms"/>
  </ds:schemaRefs>
</ds:datastoreItem>
</file>

<file path=customXml/itemProps3.xml><?xml version="1.0" encoding="utf-8"?>
<ds:datastoreItem xmlns:ds="http://schemas.openxmlformats.org/officeDocument/2006/customXml" ds:itemID="{28DB1FCF-9AC2-4480-99FB-CAF66C239F64}">
  <ds:schemaRefs>
    <ds:schemaRef ds:uri="http://schemas.microsoft.com/office/2006/metadata/properties"/>
    <ds:schemaRef ds:uri="http://schemas.microsoft.com/office/infopath/2007/PartnerControls"/>
    <ds:schemaRef ds:uri="db381a69-ce3e-4f16-b592-2e22854a1e13"/>
    <ds:schemaRef ds:uri="7327892f-fec6-4cb6-8e71-f8d8054844c3"/>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Application>LibreOffice/7.3.7.2$Linux_X86_64 LibreOffice_project/30$Build-2</Application>
  <AppVersion>15.0000</AppVersion>
  <Pages>9</Pages>
  <Words>1481</Words>
  <Characters>8878</Characters>
  <CharactersWithSpaces>10284</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2023-07-31T01:56:00Z</dcterms:created>
  <dc:creator>Tarscha Schulz, Zac Kelly, Rory Donohue, Toby Gilmour</dc:creator>
  <dc:description/>
  <dc:language>en-AU</dc:language>
  <cp:lastModifiedBy/>
  <dcterms:modified xsi:type="dcterms:W3CDTF">2023-09-11T11:17:15Z</dcterms:modified>
  <cp:revision>10</cp:revision>
  <dc:subject>INCIDENT RESPONSE TEAM EXERCISE</dc:subject>
  <dc:title>The Chaos Collective Project Charter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0x010100ABFBDA7D60A976429D02C7640092E59E</vt:lpwstr>
  </property>
  <property fmtid="{D5CDD505-2E9C-101B-9397-08002B2CF9AE}" pid="4" name="MediaServiceImageTags">
    <vt:lpwstr/>
  </property>
  <property fmtid="{D5CDD505-2E9C-101B-9397-08002B2CF9AE}" pid="5" name="Order">
    <vt:r8>9718100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_SharedFileIndex">
    <vt:lpwstr/>
  </property>
  <property fmtid="{D5CDD505-2E9C-101B-9397-08002B2CF9AE}" pid="10" name="_SourceUrl">
    <vt:lpwstr/>
  </property>
  <property fmtid="{D5CDD505-2E9C-101B-9397-08002B2CF9AE}" pid="11" name="xd_ProgID">
    <vt:lpwstr/>
  </property>
  <property fmtid="{D5CDD505-2E9C-101B-9397-08002B2CF9AE}" pid="12" name="xd_Signature">
    <vt:bool>0</vt:bool>
  </property>
</Properties>
</file>