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6D1C0518"/>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14:textFill>
            <w14:solidFill>
              <w14:schemeClr w14:val="tx1"/>
            </w14:solidFill>
          </w14:textFill>
        </w:rPr>
      </w:pPr>
      <w:r>
        <w:rPr>
          <w:color w:val="000000" w:themeColor="text1"/>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721735" cy="2576195"/>
            <wp:effectExtent l="0" t="0" r="12065" b="14605"/>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721735" cy="2576195"/>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bookmarkStart w:id="0" w:name="_GoBack"/>
      <w:bookmarkEnd w:id="0"/>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718560" cy="2566670"/>
            <wp:effectExtent l="0" t="0" r="0" b="889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718560" cy="2566670"/>
                    </a:xfrm>
                    <a:prstGeom prst="rect">
                      <a:avLst/>
                    </a:prstGeom>
                  </pic:spPr>
                </pic:pic>
              </a:graphicData>
            </a:graphic>
          </wp:inline>
        </w:drawing>
      </w:r>
    </w:p>
    <w:p w14:paraId="222EE3A8">
      <w:pPr>
        <w:jc w:val="center"/>
        <w:rPr>
          <w:rFonts w:hint="default"/>
          <w:lang w:val="en-US"/>
        </w:rPr>
      </w:pPr>
      <w:r>
        <w:rPr>
          <w:rFonts w:hint="default"/>
          <w:lang w:val="en-US"/>
        </w:rPr>
        <w:t>Figure 02 - System with high CPU consumption</w:t>
      </w:r>
    </w:p>
    <w:p w14:paraId="29FB2E5C">
      <w:pPr>
        <w:jc w:val="center"/>
        <w:rPr>
          <w:rFonts w:hint="default"/>
          <w:lang w:val="en-US"/>
        </w:rPr>
      </w:pP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33A647A5">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0"/>
        </w:numPr>
        <w:ind w:leftChars="0"/>
        <w:jc w:val="center"/>
      </w:pPr>
      <w:r>
        <w:drawing>
          <wp:inline distT="0" distB="0" distL="114300" distR="114300">
            <wp:extent cx="3630930" cy="2601595"/>
            <wp:effectExtent l="0" t="0" r="1143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630930" cy="260159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2DDBD2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46E37A75">
      <w:pPr>
        <w:numPr>
          <w:ilvl w:val="0"/>
          <w:numId w:val="0"/>
        </w:numPr>
        <w:ind w:leftChars="0"/>
        <w:rPr>
          <w:rFonts w:hint="default"/>
          <w:lang w:val="en-US"/>
        </w:rPr>
      </w:pP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68A3529B">
      <w:pPr>
        <w:spacing w:line="240" w:lineRule="auto"/>
        <w:ind w:firstLine="720" w:firstLineChars="0"/>
        <w:jc w:val="both"/>
        <w:rPr>
          <w:rFonts w:hint="default"/>
          <w:lang w:val="en-US"/>
        </w:rPr>
      </w:pPr>
    </w:p>
    <w:p w14:paraId="171363B6">
      <w:pPr>
        <w:spacing w:line="240" w:lineRule="auto"/>
        <w:ind w:firstLine="720" w:firstLineChars="0"/>
        <w:jc w:val="both"/>
        <w:rPr>
          <w:rFonts w:hint="default"/>
          <w:lang w:val="en-US"/>
        </w:rPr>
      </w:pPr>
    </w:p>
    <w:p w14:paraId="0FC0DAA8">
      <w:pPr>
        <w:spacing w:line="240" w:lineRule="auto"/>
        <w:ind w:firstLine="720" w:firstLineChars="0"/>
        <w:jc w:val="both"/>
        <w:rPr>
          <w:rFonts w:hint="default"/>
          <w:lang w:val="en-US"/>
        </w:rPr>
      </w:pPr>
    </w:p>
    <w:p w14:paraId="427E18F5">
      <w:pPr>
        <w:spacing w:line="240" w:lineRule="auto"/>
        <w:ind w:firstLine="720" w:firstLineChars="0"/>
        <w:jc w:val="both"/>
        <w:rPr>
          <w:rFonts w:hint="default"/>
          <w:b/>
          <w:bCs/>
          <w:lang w:val="en-US"/>
        </w:rPr>
      </w:pPr>
    </w:p>
    <w:p w14:paraId="0D757D13">
      <w:pPr>
        <w:numPr>
          <w:ilvl w:val="0"/>
          <w:numId w:val="8"/>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Variable Tex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4B1F34"/>
    <w:rsid w:val="0DF82377"/>
    <w:rsid w:val="0E5115CA"/>
    <w:rsid w:val="0F0F2DD9"/>
    <w:rsid w:val="277E52D7"/>
    <w:rsid w:val="313D20DF"/>
    <w:rsid w:val="3B7D63C4"/>
    <w:rsid w:val="3E453618"/>
    <w:rsid w:val="678F3CF5"/>
    <w:rsid w:val="69350181"/>
    <w:rsid w:val="6A065F94"/>
    <w:rsid w:val="717B342F"/>
    <w:rsid w:val="78240E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2025-06-05T11:39:38Z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