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Договор поставки SA-2026-014</w:t>
      </w:r>
    </w:p>
    <w:p>
      <w:r>
        <w:rPr>
          <w:i/>
          <w:sz w:val="18"/>
        </w:rPr>
        <w:t>Дата подписания: 18 февраля 2026 г.</w:t>
      </w:r>
    </w:p>
    <w:p>
      <w:r>
        <w:t>Veltra Power (далее «Поставщик»), в лице директора по продажам Danielle Okafor, и Northlight Solar Systems (далее «Покупатель»), в лице директора Alex Mercer, заключили настоящий договор о нижеследующем.</w:t>
      </w:r>
    </w:p>
    <w:p>
      <w:pPr>
        <w:pStyle w:val="Heading1"/>
      </w:pPr>
      <w:r>
        <w:rPr>
          <w:color w:val="1F3A5F"/>
        </w:rPr>
        <w:t>1. Предмет договора</w:t>
      </w:r>
    </w:p>
    <w:p>
      <w:r>
        <w:t>1.1. Поставщик поставляет, а Покупатель принимает и оплачивает трёхфазные сетевые инверторы Veltra HX-50 (номинальная мощность 50 кВт, 4 входа MPPT, степень защиты IP65) и сопутствующие принадлежности (далее «Товар») в количестве и по цене, указанных в заказах.</w:t>
      </w:r>
    </w:p>
    <w:p>
      <w:r>
        <w:t>1.2. Каждый заказ оформляется письменно и считается принятым после подтверждения Поставщиком.</w:t>
      </w:r>
    </w:p>
    <w:p>
      <w:pPr>
        <w:pStyle w:val="Heading1"/>
      </w:pPr>
      <w:r>
        <w:rPr>
          <w:color w:val="1F3A5F"/>
        </w:rPr>
        <w:t>2. Определения</w:t>
      </w:r>
    </w:p>
    <w:p>
      <w:r>
        <w:t>2.1. «Пилотная партия» — первый заказ Покупателя для опытной эксплуатации на объекте клиента. 2.2. «Серийный заказ» — заказ от десяти (10) единиц Товара.</w:t>
      </w:r>
    </w:p>
    <w:p>
      <w:pPr>
        <w:pStyle w:val="Heading1"/>
      </w:pPr>
      <w:r>
        <w:rPr>
          <w:color w:val="1F3A5F"/>
        </w:rPr>
        <w:t>3. Цены</w:t>
      </w:r>
    </w:p>
    <w:p>
      <w:r>
        <w:t>3.1. Цены на Товар указаны в долларах США (без налогов; налоги уплачиваются по законодательству Покупателя) и составляют: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Количество в заказе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Цена за единицу, $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Veltra HX-50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1–9 шт.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5 200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Veltra HX-50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от 10 шт.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4 950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Модуль связи Wi-Fi/LAN (опция)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 шт.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120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Защита по постоянному току, тип 2 (опция)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 шт.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210</w:t>
            </w:r>
          </w:p>
        </w:tc>
      </w:tr>
    </w:tbl>
    <w:p/>
    <w:p>
      <w:r>
        <w:t>3.2. Цена фиксирована для заказов, подтверждённых в течение девяноста (90) дней с даты предложения. После этого Поставщик вправе пересмотреть цену, уведомив Покупателя за тридцать (30) дней.</w:t>
      </w:r>
    </w:p>
    <w:p>
      <w:r>
        <w:t>3.3. Каждый заказ оформляется отдельной спецификацией. Цена пилотной партии может быть согласована отдельно письменно.</w:t>
      </w:r>
    </w:p>
    <w:p>
      <w:pPr>
        <w:pStyle w:val="Heading1"/>
      </w:pPr>
      <w:r>
        <w:rPr>
          <w:color w:val="1F3A5F"/>
        </w:rPr>
        <w:t>4. Оплата</w:t>
      </w:r>
    </w:p>
    <w:p>
      <w:r>
        <w:t>4.1. Оплата производится в долларах США: 30% (тридцать процентов) стоимости заказа — аванс при подтверждении заказа; 70% (семьдесят процентов) — в течение 30 (тридцати) календарных дней после поставки Товара на склад Покупателя (дата поставки подтверждается накладной). Счёт на остаток выставляется после отгрузки.</w:t>
      </w:r>
    </w:p>
    <w:p>
      <w:r>
        <w:t>4.2. Комиссии своего банка каждая сторона несёт сама; комиссии банков-посредников — отправитель. Банковские реквизиты указаны в приложении 2.</w:t>
      </w:r>
    </w:p>
    <w:p>
      <w:pPr>
        <w:pStyle w:val="Heading1"/>
      </w:pPr>
      <w:r>
        <w:rPr>
          <w:color w:val="1F3A5F"/>
        </w:rPr>
        <w:t>5. Условия поставки</w:t>
      </w:r>
    </w:p>
    <w:p>
      <w:r>
        <w:t>5.1. Поставка осуществляется по правилам Incoterms 2020 в редакции, указанной в п. 5.2.</w:t>
      </w:r>
    </w:p>
    <w:p>
      <w:r>
        <w:t>5.2. Для заказов менее десяти (10) единиц поставка осуществляется на условиях FCA склад Поставщика (перевозку, транспортные расходы и страхование организует и несёт Покупатель). Для заказов от десяти (10) единиц поставка осуществляется на условиях DAP склад Покупателя (транспортные расходы и страхование до склада Покупателя несёт Поставщик; разгрузка — за Покупателем). Размер заказа определяется по каждому заказу отдельно.</w:t>
      </w:r>
    </w:p>
    <w:p>
      <w:r>
        <w:t>5.3. Риск случайной гибели переходит к Покупателю в момент, определённый выбранными условиями Incoterms.</w:t>
      </w:r>
    </w:p>
    <w:p>
      <w:r>
        <w:t>5.4. Осмотр при получении: видимые повреждения фиксируются в накладной; скрытые недостатки заявляются в течение пяти (5) рабочих дней с даты приёмки с приложением фотографий.</w:t>
      </w:r>
    </w:p>
    <w:p>
      <w:pPr>
        <w:pStyle w:val="Heading1"/>
      </w:pPr>
      <w:r>
        <w:rPr>
          <w:color w:val="1F3A5F"/>
        </w:rPr>
        <w:t>6. Документы</w:t>
      </w:r>
    </w:p>
    <w:p>
      <w:r>
        <w:t>6.1. Поставщик передаёт вместе с Товаром упаковочный лист, сертификат соответствия и паспорт изделия.</w:t>
      </w:r>
    </w:p>
    <w:p>
      <w:pPr>
        <w:pStyle w:val="Heading1"/>
      </w:pPr>
      <w:r>
        <w:rPr>
          <w:color w:val="1F3A5F"/>
        </w:rPr>
        <w:t>7. Срок поставки</w:t>
      </w:r>
    </w:p>
    <w:p>
      <w:r>
        <w:t>7.1. Срок поставки — шесть (6) недель с даты получения аванса на счёт Поставщика. Подтверждение заказа без аванса срок не запускает.</w:t>
      </w:r>
    </w:p>
    <w:p>
      <w:pPr>
        <w:pStyle w:val="Heading1"/>
      </w:pPr>
      <w:r>
        <w:rPr>
          <w:color w:val="1F3A5F"/>
        </w:rPr>
        <w:t>8. Ответственность за просрочку</w:t>
      </w:r>
    </w:p>
    <w:p>
      <w:r>
        <w:t>8.1. За задержку поставки Поставщик уплачивает неустойку.</w:t>
      </w:r>
    </w:p>
    <w:p>
      <w:r>
        <w:t>8.2. Размер неустойки — 0,5% стоимости задержанного Товара за каждую полную неделю просрочки, но не более 5% стоимости такого Товара. Неустойка засчитывается в уменьшение счёта на остаток (70%).</w:t>
      </w:r>
    </w:p>
    <w:p>
      <w:pPr>
        <w:pStyle w:val="Heading1"/>
      </w:pPr>
      <w:r>
        <w:rPr>
          <w:color w:val="1F3A5F"/>
        </w:rPr>
        <w:t>9. Гарантия</w:t>
      </w:r>
    </w:p>
    <w:p>
      <w:r>
        <w:t>9.1. Гарантийный срок на Товар — пять (5) лет с даты поставки.</w:t>
      </w:r>
    </w:p>
    <w:p>
      <w:r>
        <w:t>9.2. Гарантия не распространяется на повреждения при транспортировке после передачи перевозчику, неправильный монтаж, отказы из-за перенапряжения в сети вне допусков и самостоятельный ремонт. Монтаж выполняется обученным персоналом (сертификат обучения на портале Поставщика — условие гарантии).</w:t>
      </w:r>
    </w:p>
    <w:p>
      <w:r>
        <w:t>9.3. При отказе Товара в гарантийный период Поставщик после проведения диагностики заменяет неисправный блок в срок до десяти (10) рабочих дней с даты подтверждения дефекта по результатам диагностики.</w:t>
      </w:r>
    </w:p>
    <w:p>
      <w:pPr>
        <w:pStyle w:val="Heading1"/>
      </w:pPr>
      <w:r>
        <w:rPr>
          <w:color w:val="1F3A5F"/>
        </w:rPr>
        <w:t>10. Ответственность</w:t>
      </w:r>
    </w:p>
    <w:p>
      <w:r>
        <w:t>10.1. Ответственность Поставщика ограничена стоимостью заказа, по которому возникла претензия. Косвенные убытки не возмещаются.</w:t>
      </w:r>
    </w:p>
    <w:p>
      <w:pPr>
        <w:pStyle w:val="Heading1"/>
      </w:pPr>
      <w:r>
        <w:rPr>
          <w:color w:val="1F3A5F"/>
        </w:rPr>
        <w:t>11. Обстоятельства непреодолимой силы</w:t>
      </w:r>
    </w:p>
    <w:p>
      <w:r>
        <w:t>11.1. Задержка в порту не является форс-мажором без официального решения властей. Задержка по документам сертификации — зона ответственности Поставщика.</w:t>
      </w:r>
    </w:p>
    <w:p>
      <w:pPr>
        <w:pStyle w:val="Heading1"/>
      </w:pPr>
      <w:r>
        <w:rPr>
          <w:color w:val="1F3A5F"/>
        </w:rPr>
        <w:t>12. Уведомления</w:t>
      </w:r>
    </w:p>
    <w:p>
      <w:r>
        <w:t>12.1. Все уведомления направляются письменно на адреса из приложения 1. Телефонный звонок уведомлением не считается.</w:t>
      </w:r>
    </w:p>
    <w:p>
      <w:pPr>
        <w:pStyle w:val="Heading1"/>
      </w:pPr>
      <w:r>
        <w:rPr>
          <w:color w:val="1F3A5F"/>
        </w:rPr>
        <w:t>13. Конфиденциальность</w:t>
      </w:r>
    </w:p>
    <w:p>
      <w:r>
        <w:t>13.1. Взаимная конфиденциальность действует три года после окончания договора. Данные клиентов Покупателя используются только для гарантийных нужд.</w:t>
      </w:r>
    </w:p>
    <w:p>
      <w:pPr>
        <w:pStyle w:val="Heading1"/>
      </w:pPr>
      <w:r>
        <w:rPr>
          <w:color w:val="1F3A5F"/>
        </w:rPr>
        <w:t>14. Применимое право и споры</w:t>
      </w:r>
    </w:p>
    <w:p>
      <w:r>
        <w:t>14.1. Применимое право — нейтральное; споры разрешаются арбитражем по регламенту из приложения 3, язык арбитража — английский. Стороны сначала пытаются урегулировать претензию письменно в течение тридцати (30) дней.</w:t>
      </w:r>
    </w:p>
    <w:p>
      <w:pPr>
        <w:pStyle w:val="Heading1"/>
      </w:pPr>
      <w:r>
        <w:rPr>
          <w:color w:val="1F3A5F"/>
        </w:rPr>
        <w:t>15. Реквизиты и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Поставщик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Покупатель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Veltra Power</w:t>
              <w:br/>
              <w:t>Industrial Park 3, Building 12</w:t>
              <w:br/>
              <w:t>Reg. No. VP-4471920</w:t>
              <w:br/>
              <w:t>VAT ID VP-882140</w:t>
              <w:br/>
              <w:t>Банк: Meridian Trust Bank, IBAN VP00 0000 1234 5678 9012</w:t>
              <w:br/>
              <w:t>SWIFT: MTBKVP22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Northlight Solar Systems</w:t>
              <w:br/>
              <w:t>41 Harbour Street, Unit 7</w:t>
              <w:br/>
              <w:t>Reg. No. NL-2190455</w:t>
              <w:br/>
              <w:t>VAT ID NL-771203</w:t>
              <w:br/>
              <w:t>Банк: Harbor Commerce Bank, IBAN NL00 0000 8765 4321 0987</w:t>
              <w:br/>
              <w:t>SWIFT: HCBKNL22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Danielle Okafor, директор по продажам</w:t>
              <w:br/>
              <w:br/>
              <w:t>______________________</w:t>
              <w:br/>
              <w:t>Lars Eklund, финансовый директор</w:t>
              <w:br/>
              <w:br/>
              <w:t>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Alex Mercer, директор</w:t>
              <w:br/>
              <w:br/>
              <w:t>______________________</w:t>
            </w:r>
          </w:p>
        </w:tc>
      </w:tr>
    </w:tbl>
    <w:p/>
    <w:p>
      <w:r>
        <w:rPr>
          <w:i/>
          <w:sz w:val="18"/>
        </w:rPr>
        <w:t>Приложение 1 — Адреса для уведомлений. Приложение 2 — Банковские реквизиты. Приложение 3 — Арбитражный регламент.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SA-2026-014</dc:title>
  <dc:subject/>
  <dc:creator>Irene Castillo</dc:creator>
  <cp:keywords/>
  <dc:description>generated by python-docx</dc:description>
  <cp:lastModifiedBy>Irene Castillo</cp:lastModifiedBy>
  <cp:revision>1</cp:revision>
  <dcterms:created xsi:type="dcterms:W3CDTF">2026-02-18T10:00:00Z</dcterms:created>
  <dcterms:modified xsi:type="dcterms:W3CDTF">2026-02-18T10:00:00Z</dcterms:modified>
  <cp:category/>
</cp:coreProperties>
</file>