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соглашения о конфиденциальности</w:t>
      </w:r>
    </w:p>
    <w:p>
      <w:r>
        <w:rPr>
          <w:i/>
          <w:sz w:val="18"/>
        </w:rPr>
        <w:t>Шаблон. Поля в квадратных скобках заполняет менеджер.</w:t>
      </w:r>
    </w:p>
    <w:p>
      <w:r>
        <w:t>Veltra Power и [наименование стороны] договорились не раскрывать третьим лицам сведения, полученные друг от друга в ходе переговоров о поставке оборудования.</w:t>
      </w:r>
    </w:p>
    <w:p>
      <w:pPr>
        <w:pStyle w:val="Heading1"/>
      </w:pPr>
      <w:r>
        <w:rPr>
          <w:color w:val="1F3A5F"/>
        </w:rPr>
        <w:t>1. Конфиденциальные сведения</w:t>
      </w:r>
    </w:p>
    <w:p>
      <w:r>
        <w:t>1.1. Цены, условия поставки, технические данные изделий до их публикации, сведения о клиентах сторон.</w:t>
      </w:r>
    </w:p>
    <w:p>
      <w:pPr>
        <w:pStyle w:val="Heading1"/>
      </w:pPr>
      <w:r>
        <w:rPr>
          <w:color w:val="1F3A5F"/>
        </w:rPr>
        <w:t>2. Срок</w:t>
      </w:r>
    </w:p>
    <w:p>
      <w:r>
        <w:t>2.1. Обязательства действуют три (3) года с даты подписания.</w:t>
      </w:r>
    </w:p>
    <w:p>
      <w:pPr>
        <w:pStyle w:val="Heading1"/>
      </w:pPr>
      <w:r>
        <w:rPr>
          <w:color w:val="1F3A5F"/>
        </w:rPr>
        <w:t>3.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Veltra Power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[сторона]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соглашения о конфиденциальности</dc:title>
  <dc:subject/>
  <dc:creator>Irene Castillo</dc:creator>
  <cp:keywords/>
  <dc:description>generated by python-docx</dc:description>
  <cp:lastModifiedBy>Irene Castillo</cp:lastModifiedBy>
  <cp:revision>1</cp:revision>
  <dcterms:created xsi:type="dcterms:W3CDTF">2024-09-10T10:00:00Z</dcterms:created>
  <dcterms:modified xsi:type="dcterms:W3CDTF">2024-09-10T10:00:00Z</dcterms:modified>
  <cp:category/>
</cp:coreProperties>
</file>