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0"/>
        </w:numPr>
        <w:ind w:leftChars="0"/>
        <w:jc w:val="center"/>
      </w:pPr>
      <w:r>
        <w:rPr>
          <w:rFonts w:hint="eastAsia"/>
          <w:lang w:val="en-US" w:eastAsia="zh-CN"/>
        </w:rPr>
        <w:t>AMS系统需求沟通交流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上一次交流纪要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6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F1F1F1" w:themeFill="background1" w:themeFillShade="F2"/>
          </w:tcPr>
          <w:p>
            <w:pPr>
              <w:jc w:val="righ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交流主题：</w:t>
            </w:r>
          </w:p>
        </w:tc>
        <w:tc>
          <w:tcPr>
            <w:tcW w:w="68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AMS系统年前需求交流确认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F1F1F1" w:themeFill="background1" w:themeFillShade="F2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交流时间：</w:t>
            </w:r>
          </w:p>
        </w:tc>
        <w:tc>
          <w:tcPr>
            <w:tcW w:w="68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2019-01-23 10:00 - 12:00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F1F1F1" w:themeFill="background1" w:themeFillShade="F2"/>
          </w:tcPr>
          <w:p>
            <w:pPr>
              <w:jc w:val="righ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参与人：</w:t>
            </w:r>
          </w:p>
        </w:tc>
        <w:tc>
          <w:tcPr>
            <w:tcW w:w="68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薛玲、钟晓琳、潘勇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F1F1F1" w:themeFill="background1" w:themeFillShade="F2"/>
          </w:tcPr>
          <w:p>
            <w:pPr>
              <w:jc w:val="righ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交流内容：</w:t>
            </w:r>
          </w:p>
        </w:tc>
        <w:tc>
          <w:tcPr>
            <w:tcW w:w="685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需求目的确认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数据处理流程确认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菜单定义和功能界面沟通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F1F1F1" w:themeFill="background1" w:themeFillShade="F2"/>
          </w:tcPr>
          <w:p>
            <w:pPr>
              <w:jc w:val="righ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已确认项：</w:t>
            </w:r>
          </w:p>
        </w:tc>
        <w:tc>
          <w:tcPr>
            <w:tcW w:w="6851" w:type="dxa"/>
          </w:tcPr>
          <w:p>
            <w:pPr>
              <w:numPr>
                <w:ilvl w:val="0"/>
                <w:numId w:val="3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系统短期目标</w:t>
            </w:r>
          </w:p>
          <w:p>
            <w:pPr>
              <w:numPr>
                <w:ilvl w:val="0"/>
                <w:numId w:val="4"/>
              </w:numPr>
              <w:ind w:left="315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计算和查询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云资源业绩</w:t>
            </w:r>
          </w:p>
          <w:p>
            <w:pPr>
              <w:numPr>
                <w:ilvl w:val="0"/>
                <w:numId w:val="4"/>
              </w:numPr>
              <w:ind w:left="31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计算和查询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云资源毛利</w:t>
            </w:r>
          </w:p>
          <w:p>
            <w:pPr>
              <w:numPr>
                <w:ilvl w:val="0"/>
                <w:numId w:val="3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订单标签：增加手工捡单、关联、常规</w:t>
            </w:r>
          </w:p>
          <w:p>
            <w:pPr>
              <w:numPr>
                <w:ilvl w:val="0"/>
                <w:numId w:val="3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系统处理流程：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06875" cy="2793365"/>
                  <wp:effectExtent l="0" t="0" r="14605" b="1079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2793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需要提供的配置类数据：</w:t>
            </w:r>
          </w:p>
          <w:p>
            <w:pPr>
              <w:numPr>
                <w:ilvl w:val="0"/>
                <w:numId w:val="5"/>
              </w:numPr>
              <w:ind w:left="31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产品返佣表</w:t>
            </w:r>
          </w:p>
          <w:p>
            <w:pPr>
              <w:numPr>
                <w:ilvl w:val="0"/>
                <w:numId w:val="5"/>
              </w:numPr>
              <w:ind w:left="31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阿里返佣规则</w:t>
            </w:r>
          </w:p>
          <w:p>
            <w:pPr>
              <w:numPr>
                <w:ilvl w:val="0"/>
                <w:numId w:val="5"/>
              </w:numPr>
              <w:ind w:left="31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客户账号信息</w:t>
            </w:r>
          </w:p>
          <w:p>
            <w:pPr>
              <w:numPr>
                <w:ilvl w:val="0"/>
                <w:numId w:val="5"/>
              </w:numPr>
              <w:ind w:left="31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账号归属团队、销售信息</w:t>
            </w:r>
          </w:p>
          <w:p>
            <w:pPr>
              <w:numPr>
                <w:ilvl w:val="0"/>
                <w:numId w:val="5"/>
              </w:numPr>
              <w:ind w:left="31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团队和销售组织关系</w:t>
            </w:r>
          </w:p>
          <w:p>
            <w:pPr>
              <w:numPr>
                <w:ilvl w:val="0"/>
                <w:numId w:val="5"/>
              </w:numPr>
              <w:ind w:left="31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团队和销售的业绩目标</w:t>
            </w:r>
          </w:p>
          <w:p>
            <w:pPr>
              <w:numPr>
                <w:ilvl w:val="0"/>
                <w:numId w:val="3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以上配置类数据，年前不提供后台操作界面，由线下维护配置和规则</w:t>
            </w:r>
          </w:p>
          <w:p>
            <w:pPr>
              <w:numPr>
                <w:ilvl w:val="0"/>
                <w:numId w:val="3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返佣规则增加适用时间范围，如无适用的返佣规则也可计算总业绩，系统需要支持历史数据的导入（如：2016-2018年的数据 ）</w:t>
            </w:r>
          </w:p>
          <w:p>
            <w:pPr>
              <w:numPr>
                <w:ilvl w:val="0"/>
                <w:numId w:val="3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汇总界面关键词调整：去掉“总”，沙盘利润-&gt;沙盘毛利，实际-&gt;核算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数据搜索希望有起始时间，终止时间可选择，精确到年月日</w:t>
            </w:r>
          </w:p>
          <w:p>
            <w:pPr>
              <w:numPr>
                <w:ilvl w:val="0"/>
                <w:numId w:val="3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</w:t>
            </w:r>
            <w:r>
              <w:rPr>
                <w:rFonts w:hint="eastAsia"/>
                <w:vertAlign w:val="baseline"/>
                <w:lang w:val="en-US" w:eastAsia="zh-CN"/>
              </w:rPr>
              <w:t>在后台功能的所有界面，提供悬浮层可直观的看到销售的业绩情况（年、月、完成率）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*</w:t>
            </w:r>
            <w:r>
              <w:rPr>
                <w:rFonts w:hint="eastAsia"/>
                <w:vertAlign w:val="baseline"/>
                <w:lang w:val="en-US" w:eastAsia="zh-CN"/>
              </w:rPr>
              <w:t>手工捡单业绩需单独列出，制作单独输出表格，系统支持手工捡单的数据导入，数据对应每月手工捡单是否返佣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F1F1F1" w:themeFill="background1" w:themeFillShade="F2"/>
          </w:tcPr>
          <w:p>
            <w:pPr>
              <w:jc w:val="righ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待确认项：</w:t>
            </w:r>
          </w:p>
        </w:tc>
        <w:tc>
          <w:tcPr>
            <w:tcW w:w="6851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系统功能菜单划分（一级菜单和二级菜单的确认）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具体功能界面展示内容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需要提供的某月的沙盘数据和实际核算数据用于测试校对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所有配置规则类表的提供和确认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F1F1F1" w:themeFill="background1" w:themeFillShade="F2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下次交流时间：</w:t>
            </w:r>
          </w:p>
        </w:tc>
        <w:tc>
          <w:tcPr>
            <w:tcW w:w="68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2019-01-23 17:00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交流待确认内容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功能菜单划分</w:t>
      </w:r>
    </w:p>
    <w:tbl>
      <w:tblPr>
        <w:tblStyle w:val="1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150"/>
        <w:gridCol w:w="1680"/>
        <w:gridCol w:w="4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191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系统端</w:t>
            </w:r>
          </w:p>
        </w:tc>
        <w:tc>
          <w:tcPr>
            <w:tcW w:w="1150" w:type="dxa"/>
            <w:shd w:val="clear" w:color="auto" w:fill="F1F1F1" w:themeFill="background1" w:themeFillShade="F2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一级菜单</w:t>
            </w:r>
          </w:p>
        </w:tc>
        <w:tc>
          <w:tcPr>
            <w:tcW w:w="1680" w:type="dxa"/>
            <w:shd w:val="clear" w:color="auto" w:fill="F1F1F1" w:themeFill="background1" w:themeFillShade="F2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二级菜单</w:t>
            </w:r>
          </w:p>
        </w:tc>
        <w:tc>
          <w:tcPr>
            <w:tcW w:w="4503" w:type="dxa"/>
            <w:shd w:val="clear" w:color="auto" w:fill="F1F1F1" w:themeFill="background1" w:themeFillShade="F2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restart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管理后台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工作主页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工作主页</w:t>
            </w:r>
          </w:p>
        </w:tc>
        <w:tc>
          <w:tcPr>
            <w:tcW w:w="4503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从以下各维度综合展示运作情况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数据：沙盘数据、核算数据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时间：年、月、日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角色：销售、销售主管、财务或管理员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指标：账号数量、目标、业绩、毛利、完成率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对比：排行、同比增长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Merge w:val="restart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数据运营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沙盘数据导入</w:t>
            </w:r>
          </w:p>
        </w:tc>
        <w:tc>
          <w:tcPr>
            <w:tcW w:w="4503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在阿里云APS分销系统中导出的源数据表格包括：新建/关联、项目报备（常规、手工捡单）的预付费和后付费账号消费数据；选择类型，在此功能中进行导入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Merge w:val="continue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核算数据导入</w:t>
            </w:r>
          </w:p>
        </w:tc>
        <w:tc>
          <w:tcPr>
            <w:tcW w:w="4503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阿里云按月度返回的实际返佣结算表，选择月份，在此功能采用源数据表进行导入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Merge w:val="continue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业绩核算</w:t>
            </w:r>
          </w:p>
        </w:tc>
        <w:tc>
          <w:tcPr>
            <w:tcW w:w="4503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选择开始-&gt;结束时间，重新核算范围内的业绩数据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Merge w:val="continue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沙盘数据查询</w:t>
            </w:r>
          </w:p>
        </w:tc>
        <w:tc>
          <w:tcPr>
            <w:tcW w:w="4503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提供给数据运营的沙盘数据查询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支持搜索：消费时间（具体到日）、订单类型（手工捡单、关联、常规）、付费类型（预付费、后付费）、账号、客户名称、归属团队、归属销售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返回数据包括：</w:t>
            </w:r>
          </w:p>
          <w:p>
            <w:pPr>
              <w:numPr>
                <w:ilvl w:val="0"/>
                <w:numId w:val="7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数据汇总（消费账号数、业绩、毛利）</w:t>
            </w:r>
          </w:p>
          <w:p>
            <w:pPr>
              <w:numPr>
                <w:ilvl w:val="0"/>
                <w:numId w:val="7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明细数据</w:t>
            </w:r>
          </w:p>
          <w:p>
            <w:pPr>
              <w:numPr>
                <w:ilvl w:val="0"/>
                <w:numId w:val="7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支持数据导出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Merge w:val="continue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核算数据查询</w:t>
            </w:r>
          </w:p>
        </w:tc>
        <w:tc>
          <w:tcPr>
            <w:tcW w:w="4503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提供给数据运营的沙盘数据查询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支持搜索：消费时间（具体到日）、订单类型（阿里订单类型）、账号、客户名称、归属团队、归属销售。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返回数据包括：</w:t>
            </w:r>
          </w:p>
          <w:p>
            <w:pPr>
              <w:numPr>
                <w:ilvl w:val="0"/>
                <w:numId w:val="8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数据汇总（消费账号数、业绩、毛利）</w:t>
            </w:r>
          </w:p>
          <w:p>
            <w:pPr>
              <w:numPr>
                <w:ilvl w:val="0"/>
                <w:numId w:val="8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明细数据</w:t>
            </w:r>
          </w:p>
          <w:p>
            <w:pPr>
              <w:numPr>
                <w:ilvl w:val="0"/>
                <w:numId w:val="8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支持数据导出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销售管理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业绩查询</w:t>
            </w:r>
          </w:p>
        </w:tc>
        <w:tc>
          <w:tcPr>
            <w:tcW w:w="4503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提供给销售侧使用的业绩综合查询功能，支持消费时间（具体到日）、数据类型（沙盘数据、核算数据）、付费类型（预付费、后付费）、账号类型（新建/关联、项目报备）、归属团队、归属销售、客户名称、阿里云账号、只看自己 等条件搜索。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结果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数据包括：</w:t>
            </w:r>
          </w:p>
          <w:p>
            <w:pPr>
              <w:numPr>
                <w:ilvl w:val="0"/>
                <w:numId w:val="9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数据汇总（消费账号数、沙盘业绩、沙盘毛利、核算业绩、核算毛利）</w:t>
            </w:r>
          </w:p>
          <w:p>
            <w:pPr>
              <w:numPr>
                <w:ilvl w:val="0"/>
                <w:numId w:val="9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明细数据（阿里云账号、客户名称、账号类型、归属团队、归属销售、订单号、消费金额、实付金额、核算时间）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restart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钉钉应用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工作主页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工作主页</w:t>
            </w:r>
          </w:p>
        </w:tc>
        <w:tc>
          <w:tcPr>
            <w:tcW w:w="4503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内容同管理后台工作主页，只是在展现的方式和界面风格上不同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Merge w:val="restart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销售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沙盘数据查询</w:t>
            </w:r>
          </w:p>
        </w:tc>
        <w:tc>
          <w:tcPr>
            <w:tcW w:w="4503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同管理后台，只是展现的方式和界面风格不同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（移动端不支持导出）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Merge w:val="continue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核算数据查询</w:t>
            </w:r>
          </w:p>
        </w:tc>
        <w:tc>
          <w:tcPr>
            <w:tcW w:w="4503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同管理后台，只是展现的方式和界面风格不同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（移动端不支持导出）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Merge w:val="continue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业绩查询</w:t>
            </w:r>
          </w:p>
        </w:tc>
        <w:tc>
          <w:tcPr>
            <w:tcW w:w="4503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同管理后台，只是展现的方式和界面风格不同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沟通确认整体菜单划分的结构</w:t>
      </w:r>
    </w:p>
    <w:p>
      <w:pPr>
        <w:numPr>
          <w:ilvl w:val="0"/>
          <w:numId w:val="1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确认工作台主页是否可以以移动端展示为主（年前目标）</w:t>
      </w:r>
    </w:p>
    <w:p>
      <w:pPr>
        <w:numPr>
          <w:ilvl w:val="0"/>
          <w:numId w:val="1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移动端主页的展示界面沟通确认（年前目标）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功能界面确认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数据提供确认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所有配置规则类表的提供和确认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需要提供的某月的沙盘数据和实际核算数据用于测试校对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7D6B9"/>
    <w:multiLevelType w:val="singleLevel"/>
    <w:tmpl w:val="80B7D6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C64B79E"/>
    <w:multiLevelType w:val="singleLevel"/>
    <w:tmpl w:val="8C64B79E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2">
    <w:nsid w:val="B39A5454"/>
    <w:multiLevelType w:val="singleLevel"/>
    <w:tmpl w:val="B39A5454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3">
    <w:nsid w:val="0C225F44"/>
    <w:multiLevelType w:val="singleLevel"/>
    <w:tmpl w:val="0C225F4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E39402D"/>
    <w:multiLevelType w:val="singleLevel"/>
    <w:tmpl w:val="0E39402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31209B3"/>
    <w:multiLevelType w:val="singleLevel"/>
    <w:tmpl w:val="131209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EE47D70"/>
    <w:multiLevelType w:val="singleLevel"/>
    <w:tmpl w:val="2EE47D7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C3B7B47"/>
    <w:multiLevelType w:val="singleLevel"/>
    <w:tmpl w:val="3C3B7B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EF98F13"/>
    <w:multiLevelType w:val="singleLevel"/>
    <w:tmpl w:val="4EF98F1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3FCC0AC"/>
    <w:multiLevelType w:val="multilevel"/>
    <w:tmpl w:val="53FCC0AC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default" w:ascii="Times New Roman" w:hAnsi="Times New Roman"/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7FD3F7B5"/>
    <w:multiLevelType w:val="singleLevel"/>
    <w:tmpl w:val="7FD3F7B5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10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63AB5"/>
    <w:rsid w:val="03B30DFB"/>
    <w:rsid w:val="06D5284F"/>
    <w:rsid w:val="07AC6DFC"/>
    <w:rsid w:val="07CC291C"/>
    <w:rsid w:val="08812372"/>
    <w:rsid w:val="09EE1EB1"/>
    <w:rsid w:val="0B976DDC"/>
    <w:rsid w:val="0CC7208B"/>
    <w:rsid w:val="0CF54272"/>
    <w:rsid w:val="0F204B50"/>
    <w:rsid w:val="10F74E55"/>
    <w:rsid w:val="11A60433"/>
    <w:rsid w:val="12A62A92"/>
    <w:rsid w:val="133735A9"/>
    <w:rsid w:val="144C72E5"/>
    <w:rsid w:val="18B23F4E"/>
    <w:rsid w:val="1A761EF7"/>
    <w:rsid w:val="1BA54D30"/>
    <w:rsid w:val="1BDC1ACB"/>
    <w:rsid w:val="1E6B5657"/>
    <w:rsid w:val="1E7B2E34"/>
    <w:rsid w:val="1F534AF5"/>
    <w:rsid w:val="20F439A6"/>
    <w:rsid w:val="212763D1"/>
    <w:rsid w:val="232C66C9"/>
    <w:rsid w:val="235F0534"/>
    <w:rsid w:val="28EC13F6"/>
    <w:rsid w:val="2A40698C"/>
    <w:rsid w:val="2B755A3B"/>
    <w:rsid w:val="2E697C96"/>
    <w:rsid w:val="2F5C6B08"/>
    <w:rsid w:val="31BF5226"/>
    <w:rsid w:val="32935F86"/>
    <w:rsid w:val="32EF5365"/>
    <w:rsid w:val="330E2F76"/>
    <w:rsid w:val="349D6F0B"/>
    <w:rsid w:val="37D11CF4"/>
    <w:rsid w:val="38753B3F"/>
    <w:rsid w:val="3A2C0069"/>
    <w:rsid w:val="3A690A2B"/>
    <w:rsid w:val="3B290F1F"/>
    <w:rsid w:val="3B7213A3"/>
    <w:rsid w:val="3C23593B"/>
    <w:rsid w:val="3E6D6E22"/>
    <w:rsid w:val="40D05956"/>
    <w:rsid w:val="419D5B9E"/>
    <w:rsid w:val="426B6189"/>
    <w:rsid w:val="42A4712C"/>
    <w:rsid w:val="434C218B"/>
    <w:rsid w:val="438C6CE1"/>
    <w:rsid w:val="449542B0"/>
    <w:rsid w:val="467342B4"/>
    <w:rsid w:val="4722184F"/>
    <w:rsid w:val="4AD873C1"/>
    <w:rsid w:val="4AF851EB"/>
    <w:rsid w:val="4F634427"/>
    <w:rsid w:val="52C9324C"/>
    <w:rsid w:val="52CC7299"/>
    <w:rsid w:val="54FE4525"/>
    <w:rsid w:val="564E4D52"/>
    <w:rsid w:val="564F0861"/>
    <w:rsid w:val="56613E2D"/>
    <w:rsid w:val="56BE7A4C"/>
    <w:rsid w:val="57AE7135"/>
    <w:rsid w:val="5906744A"/>
    <w:rsid w:val="5A964951"/>
    <w:rsid w:val="5C5D5A67"/>
    <w:rsid w:val="5DC659D7"/>
    <w:rsid w:val="60703397"/>
    <w:rsid w:val="62CD40E1"/>
    <w:rsid w:val="66381EFB"/>
    <w:rsid w:val="66734386"/>
    <w:rsid w:val="67F97946"/>
    <w:rsid w:val="68753106"/>
    <w:rsid w:val="6EA754A5"/>
    <w:rsid w:val="6F3C031E"/>
    <w:rsid w:val="6F7C526C"/>
    <w:rsid w:val="71935C07"/>
    <w:rsid w:val="719A51F1"/>
    <w:rsid w:val="72A55AEC"/>
    <w:rsid w:val="753C4C9E"/>
    <w:rsid w:val="76354306"/>
    <w:rsid w:val="7AAC6152"/>
    <w:rsid w:val="7C4C782E"/>
    <w:rsid w:val="7C811809"/>
    <w:rsid w:val="7CA173DE"/>
    <w:rsid w:val="7CEC6351"/>
    <w:rsid w:val="7DAA62B7"/>
    <w:rsid w:val="7E177C6F"/>
    <w:rsid w:val="7E610DE5"/>
    <w:rsid w:val="7E6A6C95"/>
    <w:rsid w:val="7EAB3FC5"/>
    <w:rsid w:val="7EB32ECD"/>
    <w:rsid w:val="7EC976F9"/>
    <w:rsid w:val="7F25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semiHidden/>
    <w:unhideWhenUsed/>
    <w:qFormat/>
    <w:uiPriority w:val="0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rFonts w:ascii="Times New Roman" w:hAnsi="Times New Roman" w:eastAsia="宋体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样式1"/>
    <w:qFormat/>
    <w:uiPriority w:val="0"/>
    <w:rPr>
      <w:rFonts w:ascii="Calibri" w:hAnsi="Calibri" w:eastAsia="宋体" w:cstheme="minorBidi"/>
    </w:rPr>
  </w:style>
  <w:style w:type="character" w:customStyle="1" w:styleId="15">
    <w:name w:val="标题 4 Char"/>
    <w:link w:val="5"/>
    <w:qFormat/>
    <w:uiPriority w:val="0"/>
    <w:rPr>
      <w:rFonts w:ascii="Times New Roman" w:hAnsi="Times New Roman" w:eastAsia="宋体"/>
      <w:b/>
      <w:bCs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Brave.</cp:lastModifiedBy>
  <dcterms:modified xsi:type="dcterms:W3CDTF">2019-01-23T11:51:07Z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