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05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>SWTID-2026-7310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  <w:r>
        <w:drawing>
          <wp:inline>
            <wp:extent cx="5669280" cy="8578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5785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/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  <w:r>
        <w:drawing>
          <wp:inline>
            <wp:extent cx="5669280" cy="17716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16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/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>
        <w:drawing>
          <wp:inline>
            <wp:extent cx="4206240" cy="21524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5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Outcome of prioritisation:</w:t>
      </w:r>
    </w:p>
    <w:p>
      <w:pPr>
        <w:ind w:left="360" w:hanging="288"/>
      </w:pPr>
      <w:r>
        <w:rPr>
          <w:b w:val="0"/>
          <w:i w:val="0"/>
        </w:rPr>
        <w:t>•  Selected: keyword-based classification with Flow Designer (high impact, low effort, no code).</w:t>
      </w:r>
    </w:p>
    <w:p>
      <w:pPr>
        <w:ind w:left="360" w:hanging="288"/>
      </w:pPr>
      <w:r>
        <w:rPr>
          <w:b w:val="0"/>
          <w:i w:val="0"/>
        </w:rPr>
        <w:t>•  Selected: custom table with dependent Category / Subcategory choices to store tickets in a standard format.</w:t>
      </w:r>
    </w:p>
    <w:p>
      <w:pPr>
        <w:ind w:left="360" w:hanging="288"/>
      </w:pPr>
      <w:r>
        <w:rPr>
          <w:b w:val="0"/>
          <w:i w:val="0"/>
        </w:rPr>
        <w:t>•  Selected: automatic email to the caller when the ticket is created.</w:t>
      </w:r>
    </w:p>
    <w:p>
      <w:pPr>
        <w:ind w:left="360" w:hanging="288"/>
      </w:pPr>
      <w:r>
        <w:rPr>
          <w:b w:val="0"/>
          <w:i w:val="0"/>
        </w:rPr>
        <w:t>•  Deferred to future scope: automatic group assignment, ML classifier and chatbot intake.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