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12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SWTID-2026-7310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/>
          <w:rtl w:val="0"/>
        </w:rPr>
        <w:t>Architecture of Auto Ticket Classification using Flow Designer (ServiceNow):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>
        <w:drawing>
          <wp:inline>
            <wp:extent cx="5852160" cy="3060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ServiceNow form (Incident WorkFlow) used by callers and agents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ServiceNow Next Experience UI / Form Designer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Auto classification: trigger on record created, If / Else-If on Short description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ServiceNow Flow Designer (no-code)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Update Record action sets Category and Subcategory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Flow Designer action - Update Record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Send Email action to the caller after classification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Flow Designer action - Send Email (SMTP)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Custom table u_incident_workflow with auto-number INC, choice and reference fields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ServiceNow platform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Database hosted by the ServiceNow instance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ServiceNow cloud (Personal Developer Instance)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Update set exported as XML (sys_remote_update_set_*.xml)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Local file system / Mail / WhatsApp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Not used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-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Not used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-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Not used - rule based keyword matching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-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Application deployment on cloud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Local Server Configuration: not required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Cloud Server Configuration: ServiceNow instance, Global application scope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ServiceNow cloud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No-code low-code platform; no open-source frameworks needed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ServiceNow Flow Designer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Access control (ACL) on the custom table via role u_incident_workflow_user; only authorised users modify tickets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ServiceNow ACLs / roles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New categories or keywords added as configuration; platform scales with ticket volume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Flow Designer + choice lists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Hosted on ServiceNow cloud with platform-level availability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ServiceNow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Flow runs on record creation within seconds; simple contains-conditions with no external calls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>Flow Designer (synchronous record trigger)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