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14 January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SWTID-2026-7310</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Auto Ticket Classification using Flow Designer</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pPr>
        <w:jc w:val="center"/>
      </w:pPr>
      <w:r>
        <w:drawing>
          <wp:inline xmlns:a="http://schemas.openxmlformats.org/drawingml/2006/main" xmlns:pic="http://schemas.openxmlformats.org/drawingml/2006/picture">
            <wp:extent cx="5760720" cy="3880906"/>
            <wp:docPr id="1" name="Picture 1"/>
            <wp:cNvGraphicFramePr>
              <a:graphicFrameLocks noChangeAspect="1"/>
            </wp:cNvGraphicFramePr>
            <a:graphic>
              <a:graphicData uri="http://schemas.openxmlformats.org/drawingml/2006/picture">
                <pic:pic>
                  <pic:nvPicPr>
                    <pic:cNvPr id="0" name="psf.png"/>
                    <pic:cNvPicPr/>
                  </pic:nvPicPr>
                  <pic:blipFill>
                    <a:blip r:embed="rId11"/>
                    <a:stretch>
                      <a:fillRect/>
                    </a:stretch>
                  </pic:blipFill>
                  <pic:spPr>
                    <a:xfrm>
                      <a:off x="0" y="0"/>
                      <a:ext cx="5760720" cy="3880906"/>
                    </a:xfrm>
                    <a:prstGeom prst="rect"/>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