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/>
          <w:sz w:val="24"/>
          <w:szCs w:val="24"/>
          <w:rtl w:val="0"/>
        </w:rPr>
        <w:t>Functional &amp; Performance Testing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06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SWTID-2026-7310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/>
          <w:rtl w:val="0"/>
        </w:rPr>
        <w:t>Functional &amp;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The team verified the Flow Designer automation end to end on the ServiceNow instance. Results below come from the executed test scenarios.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sz w:val="18"/>
                <w:rtl w:val="0"/>
              </w:rPr>
              <w:t>Automation Summary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ServiceNow automation 'Auto Classify School IT Tickets' (Flow Designer) on the custom table Incident WorkFlow (u_incident_workflow). Trigger: Record Created with Category is empty. If / Else-If branches on Short description set Category and Subcategory, then Send Email notifies the caller.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</w:r>
            <w:r>
              <w:drawing>
                <wp:inline>
                  <wp:extent cx="1417320" cy="5734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trigg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73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1417320" cy="6151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wif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15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sz w:val="18"/>
                <w:rtl w:val="0"/>
              </w:rPr>
              <w:t>Classification Accuracy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Scenarios executed: 2 (Network / Wi-Fi, Projector)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Correct classification: 2 of 2 (100%)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Note: Password and Slow Computer branches are configured; execute and record them to extend this result.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</w:r>
            <w:r>
              <w:drawing>
                <wp:inline>
                  <wp:extent cx="1417320" cy="5253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tes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5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1417320" cy="5186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test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18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sz w:val="18"/>
                <w:rtl w:val="0"/>
              </w:rPr>
              <w:t>Data Validation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Auto-number generated without duplication (INC00511, INC00512)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Caller reference resolved to a user record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Category and Subcategory stored accurately after save and reload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</w:rPr>
            </w:r>
            <w:r>
              <w:drawing>
                <wp:inline>
                  <wp:extent cx="1417320" cy="5253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tes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5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sz w:val="18"/>
                <w:rtl w:val="0"/>
              </w:rPr>
              <w:t>Email Notification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Email 'Your Request for the issue has been submitted.' found in System Logs &gt; Emails for the callers; Preview Email shows the confirmation message.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</w:rPr>
            </w:r>
            <w:r>
              <w:drawing>
                <wp:inline>
                  <wp:extent cx="1417320" cy="2590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emai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59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1417320" cy="5670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pre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67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sz w:val="18"/>
                <w:rtl w:val="0"/>
              </w:rPr>
              <w:t>Deployment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  <w:rtl w:val="0"/>
              </w:rPr>
              <w:t>Project Update Set set to Complete and exported to XML (182 KB).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18"/>
              </w:rPr>
            </w:r>
            <w:r>
              <w:drawing>
                <wp:inline>
                  <wp:extent cx="1417320" cy="5168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upse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16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