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44"/>
        </w:rPr>
        <w:t>ClinLoop AI Project Description</w:t>
      </w:r>
    </w:p>
    <w:p>
      <w:pPr>
        <w:spacing w:after="240"/>
      </w:pPr>
      <w:r>
        <w:rPr>
          <w:rFonts w:ascii="Arial" w:hAnsi="Arial"/>
          <w:b/>
          <w:sz w:val="20"/>
        </w:rPr>
        <w:t>4th International Championship at FAST  |  Submission target 24 October 2026</w:t>
      </w:r>
    </w:p>
    <w:p>
      <w:pPr>
        <w:pStyle w:val="Heading1"/>
        <w:keepNext/>
      </w:pPr>
      <w:r>
        <w:t>Project Overview and Problem Statement</w:t>
      </w:r>
    </w:p>
    <w:p>
      <w:r>
        <w:rPr>
          <w:rFonts w:ascii="Arial" w:hAnsi="Arial"/>
        </w:rPr>
        <w:t>ClinLoop AI is a doctor supervised clinical intake and documentation prototype. Patients describe a concern by text or voice in English, Urdu or Roman Urdu. The system asks follow up questions, detects urgent symptoms, organizes the evidence into a structured SOAP draft and sends the case to a doctor for review.</w:t>
      </w:r>
    </w:p>
    <w:p>
      <w:r>
        <w:rPr>
          <w:rFonts w:ascii="Arial" w:hAnsi="Arial"/>
        </w:rPr>
        <w:t>Before a consultation, important details are often scattered across speech, messages and history forms. A fixed questionnaire can miss details that only become relevant after an answer. A generative report can also omit a medicine or allergy, invent an examination finding, or present an uncertain assessment too strongly. Doctors therefore need a concise draft with visible evidence, an urgency signal and control over the final clinical record.</w:t>
      </w:r>
    </w:p>
    <w:p>
      <w:pPr>
        <w:pStyle w:val="Heading1"/>
        <w:keepNext/>
      </w:pPr>
      <w:r>
        <w:t>Proposed Solution</w:t>
      </w:r>
    </w:p>
    <w:p>
      <w:r>
        <w:rPr>
          <w:rFonts w:ascii="Arial" w:hAnsi="Arial"/>
        </w:rPr>
        <w:t>The patient starts with a medical history and a chief complaint. Speech is transcribed into editable text so recognition errors can be corrected. An interview agent uses the latest response and the recorded history to select one useful follow up question at a time. The interview stops when enough information has been gathered or its turn limit is reached. The displayed Interview Completeness score measures intake progress, not the probability of a diagnosis.</w:t>
      </w:r>
    </w:p>
    <w:p>
      <w:r>
        <w:rPr>
          <w:rFonts w:ascii="Arial" w:hAnsi="Arial"/>
        </w:rPr>
        <w:t>A separate safety path checks patient statements and the finished report for red flags. Emergency cases interrupt routine questioning, warn the patient and move to the highest doctor review priority. The submission demonstration includes a controlled alert and a simulated automatic call to a configured on call contact. Any direct call to public emergency services requires human confirmation and a predefined number.</w:t>
      </w:r>
    </w:p>
    <w:p>
      <w:r>
        <w:rPr>
          <w:rFonts w:ascii="Arial" w:hAnsi="Arial"/>
        </w:rPr>
        <w:t>The documentation agent then prepares Subjective, Objective, Assessment and Plan sections. The doctor can approve, reject or request a revision, and can add a prescription only through the doctor workflow. Corrections are preserved as linked versions. Reusable lessons enter a separate review process before they can influence later reports through retrieval or be included in a model training dataset.</w:t>
      </w:r>
    </w:p>
    <w:p>
      <w:pPr>
        <w:pStyle w:val="Heading1"/>
        <w:keepNext/>
      </w:pPr>
      <w:r>
        <w:t>Objectives and Expected Outcomes</w:t>
      </w:r>
    </w:p>
    <w:p>
      <w:pPr>
        <w:pStyle w:val="ListBullet"/>
      </w:pPr>
      <w:r>
        <w:rPr>
          <w:rFonts w:ascii="Arial" w:hAnsi="Arial"/>
        </w:rPr>
        <w:t>Demonstrate a complete synthetic patient to doctor journey with editable voice transcription, adaptive questions, urgency routing and a reviewed SOAP report.</w:t>
      </w:r>
    </w:p>
    <w:p>
      <w:pPr>
        <w:pStyle w:val="ListBullet"/>
      </w:pPr>
      <w:r>
        <w:rPr>
          <w:rFonts w:ascii="Arial" w:hAnsi="Arial"/>
        </w:rPr>
        <w:t>Detect every mandatory emergency example in the fixed demonstration set and report both missed alerts and false alarms with counts and denominators.</w:t>
      </w:r>
    </w:p>
    <w:p>
      <w:pPr>
        <w:pStyle w:val="ListBullet"/>
      </w:pPr>
      <w:r>
        <w:rPr>
          <w:rFonts w:ascii="Arial" w:hAnsi="Arial"/>
        </w:rPr>
        <w:t>Show that interview questions change with patient answers and that the completeness score explains missing intake information without implying diagnostic certainty.</w:t>
      </w:r>
    </w:p>
    <w:p>
      <w:pPr>
        <w:pStyle w:val="ListBullet"/>
      </w:pPr>
      <w:r>
        <w:rPr>
          <w:rFonts w:ascii="Arial" w:hAnsi="Arial"/>
        </w:rPr>
        <w:t>Preserve the original AI report, doctor correction and final reviewed version so each decision can be traced to its source.</w:t>
      </w:r>
    </w:p>
    <w:p>
      <w:pPr>
        <w:pStyle w:val="ListBullet"/>
      </w:pPr>
      <w:r>
        <w:rPr>
          <w:rFonts w:ascii="Arial" w:hAnsi="Arial"/>
        </w:rPr>
        <w:t>Train a small adapter on an open weight model using free Colab GPU time, save the artifact and compare it with the unchanged base model on held out synthetic cases.</w:t>
      </w:r>
    </w:p>
    <w:p>
      <w:pPr>
        <w:pStyle w:val="Heading1"/>
        <w:keepNext/>
      </w:pPr>
      <w:r>
        <w:t>Target Users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376"/>
            <w:vAlign w:val="center"/>
            <w:tcMar>
              <w:top w:w="105" w:type="dxa"/>
              <w:start w:w="125" w:type="dxa"/>
              <w:bottom w:w="105" w:type="dxa"/>
              <w:end w:w="125" w:type="dxa"/>
            </w:tcMar>
            <w:shd w:fill="262626"/>
          </w:tcPr>
          <w:p>
            <w:pPr>
              <w:jc w:val="center"/>
            </w:pPr>
            <w:r>
              <w:rPr>
                <w:rFonts w:ascii="Arial" w:hAnsi="Arial"/>
                <w:b/>
                <w:color w:val="FFFFFF"/>
                <w:sz w:val="17"/>
              </w:rPr>
              <w:t>User</w:t>
            </w:r>
          </w:p>
        </w:tc>
        <w:tc>
          <w:tcPr>
            <w:tcW w:type="dxa" w:w="7560"/>
            <w:vAlign w:val="center"/>
            <w:tcMar>
              <w:top w:w="105" w:type="dxa"/>
              <w:start w:w="125" w:type="dxa"/>
              <w:bottom w:w="105" w:type="dxa"/>
              <w:end w:w="125" w:type="dxa"/>
            </w:tcMar>
            <w:shd w:fill="262626"/>
          </w:tcPr>
          <w:p>
            <w:pPr>
              <w:jc w:val="center"/>
            </w:pPr>
            <w:r>
              <w:rPr>
                <w:rFonts w:ascii="Arial" w:hAnsi="Arial"/>
                <w:b/>
                <w:color w:val="FFFFFF"/>
                <w:sz w:val="17"/>
              </w:rPr>
              <w:t>Role in ClinLoop</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Patients</w:t>
            </w:r>
          </w:p>
        </w:tc>
        <w:tc>
          <w:tcPr>
            <w:tcW w:type="dxa" w:w="7560"/>
            <w:vAlign w:val="center"/>
            <w:tcMar>
              <w:top w:w="105" w:type="dxa"/>
              <w:start w:w="125" w:type="dxa"/>
              <w:bottom w:w="105" w:type="dxa"/>
              <w:end w:w="125" w:type="dxa"/>
            </w:tcMar>
          </w:tcPr>
          <w:p>
            <w:pPr>
              <w:spacing w:after="0"/>
            </w:pPr>
            <w:r>
              <w:rPr>
                <w:rFonts w:ascii="Arial" w:hAnsi="Arial"/>
                <w:sz w:val="17"/>
              </w:rPr>
              <w:t>Provide history and symptoms by voice or text, correct transcripts and receive doctor reviewed documents.</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Doctors</w:t>
            </w:r>
          </w:p>
        </w:tc>
        <w:tc>
          <w:tcPr>
            <w:tcW w:type="dxa" w:w="7560"/>
            <w:vAlign w:val="center"/>
            <w:tcMar>
              <w:top w:w="105" w:type="dxa"/>
              <w:start w:w="125" w:type="dxa"/>
              <w:bottom w:w="105" w:type="dxa"/>
              <w:end w:w="125" w:type="dxa"/>
            </w:tcMar>
            <w:shd w:fill="F2F2F2"/>
          </w:tcPr>
          <w:p>
            <w:pPr>
              <w:spacing w:after="0"/>
            </w:pPr>
            <w:r>
              <w:rPr>
                <w:rFonts w:ascii="Arial" w:hAnsi="Arial"/>
                <w:sz w:val="17"/>
              </w:rPr>
              <w:t>Review the interview and SOAP draft, assess urgency, correct or approve the report and author prescriptions.</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Clinical and evaluation reviewers</w:t>
            </w:r>
          </w:p>
        </w:tc>
        <w:tc>
          <w:tcPr>
            <w:tcW w:type="dxa" w:w="7560"/>
            <w:vAlign w:val="center"/>
            <w:tcMar>
              <w:top w:w="105" w:type="dxa"/>
              <w:start w:w="125" w:type="dxa"/>
              <w:bottom w:w="105" w:type="dxa"/>
              <w:end w:w="125" w:type="dxa"/>
            </w:tcMar>
          </w:tcPr>
          <w:p>
            <w:pPr>
              <w:spacing w:after="0"/>
            </w:pPr>
            <w:r>
              <w:rPr>
                <w:rFonts w:ascii="Arial" w:hAnsi="Arial"/>
                <w:sz w:val="17"/>
              </w:rPr>
              <w:t>Assess reusable corrections, conflicts, safety examples and measured prototype outputs.</w:t>
            </w:r>
          </w:p>
        </w:tc>
      </w:tr>
    </w:tbl>
    <w:p>
      <w:pPr>
        <w:spacing w:after="0"/>
      </w:pPr>
    </w:p>
    <w:p>
      <w:pPr>
        <w:pStyle w:val="Heading1"/>
        <w:keepNext/>
      </w:pPr>
      <w:r>
        <w:t>Key Features and Deliverables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376"/>
            <w:vAlign w:val="center"/>
            <w:tcMar>
              <w:top w:w="105" w:type="dxa"/>
              <w:start w:w="125" w:type="dxa"/>
              <w:bottom w:w="105" w:type="dxa"/>
              <w:end w:w="125" w:type="dxa"/>
            </w:tcMar>
            <w:shd w:fill="262626"/>
          </w:tcPr>
          <w:p>
            <w:pPr>
              <w:jc w:val="center"/>
            </w:pPr>
            <w:r>
              <w:rPr>
                <w:rFonts w:ascii="Arial" w:hAnsi="Arial"/>
                <w:b/>
                <w:color w:val="FFFFFF"/>
                <w:sz w:val="17"/>
              </w:rPr>
              <w:t>Feature</w:t>
            </w:r>
          </w:p>
        </w:tc>
        <w:tc>
          <w:tcPr>
            <w:tcW w:type="dxa" w:w="7560"/>
            <w:vAlign w:val="center"/>
            <w:tcMar>
              <w:top w:w="105" w:type="dxa"/>
              <w:start w:w="125" w:type="dxa"/>
              <w:bottom w:w="105" w:type="dxa"/>
              <w:end w:w="125" w:type="dxa"/>
            </w:tcMar>
            <w:shd w:fill="262626"/>
          </w:tcPr>
          <w:p>
            <w:pPr>
              <w:jc w:val="center"/>
            </w:pPr>
            <w:r>
              <w:rPr>
                <w:rFonts w:ascii="Arial" w:hAnsi="Arial"/>
                <w:b/>
                <w:color w:val="FFFFFF"/>
                <w:sz w:val="17"/>
              </w:rPr>
              <w:t>Submission deliverable</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Multilingual intake</w:t>
            </w:r>
          </w:p>
        </w:tc>
        <w:tc>
          <w:tcPr>
            <w:tcW w:type="dxa" w:w="7560"/>
            <w:vAlign w:val="center"/>
            <w:tcMar>
              <w:top w:w="105" w:type="dxa"/>
              <w:start w:w="125" w:type="dxa"/>
              <w:bottom w:w="105" w:type="dxa"/>
              <w:end w:w="125" w:type="dxa"/>
            </w:tcMar>
          </w:tcPr>
          <w:p>
            <w:pPr>
              <w:spacing w:after="0"/>
            </w:pPr>
            <w:r>
              <w:rPr>
                <w:rFonts w:ascii="Arial" w:hAnsi="Arial"/>
                <w:sz w:val="17"/>
              </w:rPr>
              <w:t>English, Urdu and Roman Urdu input with speech transcription, editable text and voice playback where configured.</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Adaptive interview</w:t>
            </w:r>
          </w:p>
        </w:tc>
        <w:tc>
          <w:tcPr>
            <w:tcW w:type="dxa" w:w="7560"/>
            <w:vAlign w:val="center"/>
            <w:tcMar>
              <w:top w:w="105" w:type="dxa"/>
              <w:start w:w="125" w:type="dxa"/>
              <w:bottom w:w="105" w:type="dxa"/>
              <w:end w:w="125" w:type="dxa"/>
            </w:tcMar>
            <w:shd w:fill="F2F2F2"/>
          </w:tcPr>
          <w:p>
            <w:pPr>
              <w:spacing w:after="0"/>
            </w:pPr>
            <w:r>
              <w:rPr>
                <w:rFonts w:ascii="Arial" w:hAnsi="Arial"/>
                <w:sz w:val="17"/>
              </w:rPr>
              <w:t>Patient history retrieval, one question at a time, bounded turns and an Interview Completeness display.</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Safety and routing</w:t>
            </w:r>
          </w:p>
        </w:tc>
        <w:tc>
          <w:tcPr>
            <w:tcW w:type="dxa" w:w="7560"/>
            <w:vAlign w:val="center"/>
            <w:tcMar>
              <w:top w:w="105" w:type="dxa"/>
              <w:start w:w="125" w:type="dxa"/>
              <w:bottom w:w="105" w:type="dxa"/>
              <w:end w:w="125" w:type="dxa"/>
            </w:tcMar>
          </w:tcPr>
          <w:p>
            <w:pPr>
              <w:spacing w:after="0"/>
            </w:pPr>
            <w:r>
              <w:rPr>
                <w:rFonts w:ascii="Arial" w:hAnsi="Arial"/>
                <w:sz w:val="17"/>
              </w:rPr>
              <w:t>Rule and model assisted red flag screening, urgency labels, doctor queue priority and a simulated on call escalation.</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SOAP documentation</w:t>
            </w:r>
          </w:p>
        </w:tc>
        <w:tc>
          <w:tcPr>
            <w:tcW w:type="dxa" w:w="7560"/>
            <w:vAlign w:val="center"/>
            <w:tcMar>
              <w:top w:w="105" w:type="dxa"/>
              <w:start w:w="125" w:type="dxa"/>
              <w:bottom w:w="105" w:type="dxa"/>
              <w:end w:w="125" w:type="dxa"/>
            </w:tcMar>
            <w:shd w:fill="F2F2F2"/>
          </w:tcPr>
          <w:p>
            <w:pPr>
              <w:spacing w:after="0"/>
            </w:pPr>
            <w:r>
              <w:rPr>
                <w:rFonts w:ascii="Arial" w:hAnsi="Arial"/>
                <w:sz w:val="17"/>
              </w:rPr>
              <w:t>Structured draft with source facts, missing information, preliminary assessment and doctor review.</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Feedback loop</w:t>
            </w:r>
          </w:p>
        </w:tc>
        <w:tc>
          <w:tcPr>
            <w:tcW w:type="dxa" w:w="7560"/>
            <w:vAlign w:val="center"/>
            <w:tcMar>
              <w:top w:w="105" w:type="dxa"/>
              <w:start w:w="125" w:type="dxa"/>
              <w:bottom w:w="105" w:type="dxa"/>
              <w:end w:w="125" w:type="dxa"/>
            </w:tcMar>
          </w:tcPr>
          <w:p>
            <w:pPr>
              <w:spacing w:after="0"/>
            </w:pPr>
            <w:r>
              <w:rPr>
                <w:rFonts w:ascii="Arial" w:hAnsi="Arial"/>
                <w:sz w:val="17"/>
              </w:rPr>
              <w:t>Doctor actions, preserved versions, approved correction retrieval and conflict handling.</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Model experiment</w:t>
            </w:r>
          </w:p>
        </w:tc>
        <w:tc>
          <w:tcPr>
            <w:tcW w:type="dxa" w:w="7560"/>
            <w:vAlign w:val="center"/>
            <w:tcMar>
              <w:top w:w="105" w:type="dxa"/>
              <w:start w:w="125" w:type="dxa"/>
              <w:bottom w:w="105" w:type="dxa"/>
              <w:end w:w="125" w:type="dxa"/>
            </w:tcMar>
            <w:shd w:fill="F2F2F2"/>
          </w:tcPr>
          <w:p>
            <w:pPr>
              <w:spacing w:after="0"/>
            </w:pPr>
            <w:r>
              <w:rPr>
                <w:rFonts w:ascii="Arial" w:hAnsi="Arial"/>
                <w:sz w:val="17"/>
              </w:rPr>
              <w:t>Colab notebook, open weight base model, saved QLoRA adapter and held out comparison results.</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Evidence package</w:t>
            </w:r>
          </w:p>
        </w:tc>
        <w:tc>
          <w:tcPr>
            <w:tcW w:type="dxa" w:w="7560"/>
            <w:vAlign w:val="center"/>
            <w:tcMar>
              <w:top w:w="105" w:type="dxa"/>
              <w:start w:w="125" w:type="dxa"/>
              <w:bottom w:w="105" w:type="dxa"/>
              <w:end w:w="125" w:type="dxa"/>
            </w:tcMar>
          </w:tcPr>
          <w:p>
            <w:pPr>
              <w:spacing w:after="0"/>
            </w:pPr>
            <w:r>
              <w:rPr>
                <w:rFonts w:ascii="Arial" w:hAnsi="Arial"/>
                <w:sz w:val="17"/>
              </w:rPr>
              <w:t>Demonstration cases, safety results, sample counts, schema checks and known limitations.</w:t>
            </w:r>
          </w:p>
        </w:tc>
      </w:tr>
    </w:tbl>
    <w:p>
      <w:pPr>
        <w:spacing w:after="0"/>
      </w:pPr>
    </w:p>
    <w:p>
      <w:pPr>
        <w:pStyle w:val="Heading1"/>
        <w:keepNext/>
      </w:pPr>
      <w:r>
        <w:t>Implementation Plan and Timeline</w:t>
      </w:r>
    </w:p>
    <w:p>
      <w:r>
        <w:rPr>
          <w:rFonts w:ascii="Arial" w:hAnsi="Arial"/>
        </w:rPr>
        <w:t>The working application already contains the patient interview, voice routes, SOAP generation, safety checks and doctor feedback flow. The submission period focuses on validating the end to end journey, completing the controlled escalation and correction evidence, and packaging a reproducible model experiment.</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1800"/>
            <w:vAlign w:val="center"/>
            <w:tcMar>
              <w:top w:w="105" w:type="dxa"/>
              <w:start w:w="125" w:type="dxa"/>
              <w:bottom w:w="105" w:type="dxa"/>
              <w:end w:w="125" w:type="dxa"/>
            </w:tcMar>
            <w:shd w:fill="262626"/>
          </w:tcPr>
          <w:p>
            <w:pPr>
              <w:jc w:val="center"/>
            </w:pPr>
            <w:r>
              <w:rPr>
                <w:rFonts w:ascii="Arial" w:hAnsi="Arial"/>
                <w:b/>
                <w:color w:val="FFFFFF"/>
                <w:sz w:val="16"/>
              </w:rPr>
              <w:t>Period</w:t>
            </w:r>
          </w:p>
        </w:tc>
        <w:tc>
          <w:tcPr>
            <w:tcW w:type="dxa" w:w="8136"/>
            <w:vAlign w:val="center"/>
            <w:tcMar>
              <w:top w:w="105" w:type="dxa"/>
              <w:start w:w="125" w:type="dxa"/>
              <w:bottom w:w="105" w:type="dxa"/>
              <w:end w:w="125" w:type="dxa"/>
            </w:tcMar>
            <w:shd w:fill="262626"/>
          </w:tcPr>
          <w:p>
            <w:pPr>
              <w:jc w:val="center"/>
            </w:pPr>
            <w:r>
              <w:rPr>
                <w:rFonts w:ascii="Arial" w:hAnsi="Arial"/>
                <w:b/>
                <w:color w:val="FFFFFF"/>
                <w:sz w:val="16"/>
              </w:rPr>
              <w:t>Work and review point</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11–14 October</w:t>
            </w:r>
          </w:p>
        </w:tc>
        <w:tc>
          <w:tcPr>
            <w:tcW w:type="dxa" w:w="8136"/>
            <w:vAlign w:val="center"/>
            <w:tcMar>
              <w:top w:w="105" w:type="dxa"/>
              <w:start w:w="125" w:type="dxa"/>
              <w:bottom w:w="105" w:type="dxa"/>
              <w:end w:w="125" w:type="dxa"/>
            </w:tcMar>
          </w:tcPr>
          <w:p>
            <w:pPr>
              <w:spacing w:after="0"/>
            </w:pPr>
            <w:r>
              <w:rPr>
                <w:rFonts w:ascii="Arial" w:hAnsi="Arial"/>
                <w:sz w:val="16"/>
              </w:rPr>
              <w:t>Stabilize patient and doctor access, test bilingual intake and voice fallback, and verify the interview stopping rules.</w:t>
            </w:r>
          </w:p>
        </w:tc>
      </w:tr>
      <w:tr>
        <w:trPr>
          <w:cantSplit/>
        </w:trPr>
        <w:tc>
          <w:tcPr>
            <w:tcW w:type="dxa" w:w="1800"/>
            <w:vAlign w:val="center"/>
            <w:tcMar>
              <w:top w:w="105" w:type="dxa"/>
              <w:start w:w="125" w:type="dxa"/>
              <w:bottom w:w="105" w:type="dxa"/>
              <w:end w:w="125" w:type="dxa"/>
            </w:tcMar>
            <w:shd w:fill="F2F2F2"/>
          </w:tcPr>
          <w:p>
            <w:pPr>
              <w:spacing w:after="0"/>
            </w:pPr>
            <w:r>
              <w:rPr>
                <w:rFonts w:ascii="Arial" w:hAnsi="Arial"/>
                <w:sz w:val="16"/>
              </w:rPr>
              <w:t>15–18 October</w:t>
            </w:r>
          </w:p>
        </w:tc>
        <w:tc>
          <w:tcPr>
            <w:tcW w:type="dxa" w:w="8136"/>
            <w:vAlign w:val="center"/>
            <w:tcMar>
              <w:top w:w="105" w:type="dxa"/>
              <w:start w:w="125" w:type="dxa"/>
              <w:bottom w:w="105" w:type="dxa"/>
              <w:end w:w="125" w:type="dxa"/>
            </w:tcMar>
            <w:shd w:fill="F2F2F2"/>
          </w:tcPr>
          <w:p>
            <w:pPr>
              <w:spacing w:after="0"/>
            </w:pPr>
            <w:r>
              <w:rPr>
                <w:rFonts w:ascii="Arial" w:hAnsi="Arial"/>
                <w:sz w:val="16"/>
              </w:rPr>
              <w:t>Harden SOAP schema and report versions; test red flag routing and implement a simulated on call notification and call event.</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19–21 October</w:t>
            </w:r>
          </w:p>
        </w:tc>
        <w:tc>
          <w:tcPr>
            <w:tcW w:type="dxa" w:w="8136"/>
            <w:vAlign w:val="center"/>
            <w:tcMar>
              <w:top w:w="105" w:type="dxa"/>
              <w:start w:w="125" w:type="dxa"/>
              <w:bottom w:w="105" w:type="dxa"/>
              <w:end w:w="125" w:type="dxa"/>
            </w:tcMar>
          </w:tcPr>
          <w:p>
            <w:pPr>
              <w:spacing w:after="0"/>
            </w:pPr>
            <w:r>
              <w:rPr>
                <w:rFonts w:ascii="Arial" w:hAnsi="Arial"/>
                <w:sz w:val="16"/>
              </w:rPr>
              <w:t>Prepare licensed or synthetic training examples; run free Colab QLoRA training; save adapter, configuration and baseline outputs.</w:t>
            </w:r>
          </w:p>
        </w:tc>
      </w:tr>
      <w:tr>
        <w:trPr>
          <w:cantSplit/>
        </w:trPr>
        <w:tc>
          <w:tcPr>
            <w:tcW w:type="dxa" w:w="1800"/>
            <w:vAlign w:val="center"/>
            <w:tcMar>
              <w:top w:w="105" w:type="dxa"/>
              <w:start w:w="125" w:type="dxa"/>
              <w:bottom w:w="105" w:type="dxa"/>
              <w:end w:w="125" w:type="dxa"/>
            </w:tcMar>
            <w:shd w:fill="F2F2F2"/>
          </w:tcPr>
          <w:p>
            <w:pPr>
              <w:spacing w:after="0"/>
            </w:pPr>
            <w:r>
              <w:rPr>
                <w:rFonts w:ascii="Arial" w:hAnsi="Arial"/>
                <w:sz w:val="16"/>
              </w:rPr>
              <w:t>22–23 October</w:t>
            </w:r>
          </w:p>
        </w:tc>
        <w:tc>
          <w:tcPr>
            <w:tcW w:type="dxa" w:w="8136"/>
            <w:vAlign w:val="center"/>
            <w:tcMar>
              <w:top w:w="105" w:type="dxa"/>
              <w:start w:w="125" w:type="dxa"/>
              <w:bottom w:w="105" w:type="dxa"/>
              <w:end w:w="125" w:type="dxa"/>
            </w:tcMar>
            <w:shd w:fill="F2F2F2"/>
          </w:tcPr>
          <w:p>
            <w:pPr>
              <w:spacing w:after="0"/>
            </w:pPr>
            <w:r>
              <w:rPr>
                <w:rFonts w:ascii="Arial" w:hAnsi="Arial"/>
                <w:sz w:val="16"/>
              </w:rPr>
              <w:t>Run held out cases, inspect unsupported facts and missed red flags, complete doctor review where available and rehearse the demonstration.</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24 October</w:t>
            </w:r>
          </w:p>
        </w:tc>
        <w:tc>
          <w:tcPr>
            <w:tcW w:type="dxa" w:w="8136"/>
            <w:vAlign w:val="center"/>
            <w:tcMar>
              <w:top w:w="105" w:type="dxa"/>
              <w:start w:w="125" w:type="dxa"/>
              <w:bottom w:w="105" w:type="dxa"/>
              <w:end w:w="125" w:type="dxa"/>
            </w:tcMar>
          </w:tcPr>
          <w:p>
            <w:pPr>
              <w:spacing w:after="0"/>
            </w:pPr>
            <w:r>
              <w:rPr>
                <w:rFonts w:ascii="Arial" w:hAnsi="Arial"/>
                <w:sz w:val="16"/>
              </w:rPr>
              <w:t>Submit the prototype description, runnable demonstration, model artifact or reproducible notebook, and measured evidence package.</w:t>
            </w:r>
          </w:p>
        </w:tc>
      </w:tr>
    </w:tbl>
    <w:p>
      <w:pPr>
        <w:spacing w:after="0"/>
      </w:pPr>
    </w:p>
    <w:p>
      <w:pPr>
        <w:pStyle w:val="Heading1"/>
        <w:keepNext/>
      </w:pPr>
      <w:r>
        <w:t>Resources or Requirements</w:t>
      </w:r>
    </w:p>
    <w:p>
      <w:pPr>
        <w:pStyle w:val="ListBullet"/>
      </w:pPr>
      <w:r>
        <w:rPr>
          <w:rFonts w:ascii="Arial" w:hAnsi="Arial"/>
        </w:rPr>
        <w:t>Existing Next.js application, patient and doctor interfaces, database, speech and language model service credentials, and a test environment with synthetic cases.</w:t>
      </w:r>
    </w:p>
    <w:p>
      <w:pPr>
        <w:pStyle w:val="ListBullet"/>
      </w:pPr>
      <w:r>
        <w:rPr>
          <w:rFonts w:ascii="Arial" w:hAnsi="Arial"/>
        </w:rPr>
        <w:t>Free Google Colab GPU access for short, checkpointed QLoRA training; an open weight base model and enough storage for datasets, adapter and logs.</w:t>
      </w:r>
    </w:p>
    <w:p>
      <w:pPr>
        <w:pStyle w:val="ListBullet"/>
      </w:pPr>
      <w:r>
        <w:rPr>
          <w:rFonts w:ascii="Arial" w:hAnsi="Arial"/>
        </w:rPr>
        <w:t>Permission to use selected training material, a fixed test set, and qualified doctor input for any clinical validity claim.</w:t>
      </w:r>
    </w:p>
    <w:p>
      <w:pPr>
        <w:pStyle w:val="ListBullet"/>
      </w:pPr>
      <w:r>
        <w:rPr>
          <w:rFonts w:ascii="Arial" w:hAnsi="Arial"/>
        </w:rPr>
        <w:t>A configured demonstration contact for the simulated automatic call; no real patient information or public emergency call is required for the competition demo.</w:t>
      </w:r>
    </w:p>
    <w:p>
      <w:pPr>
        <w:pStyle w:val="Heading1"/>
        <w:keepNext/>
      </w:pPr>
      <w:r>
        <w:t>Potential Challenges or Risks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448"/>
            <w:vAlign w:val="center"/>
            <w:tcMar>
              <w:top w:w="105" w:type="dxa"/>
              <w:start w:w="125" w:type="dxa"/>
              <w:bottom w:w="105" w:type="dxa"/>
              <w:end w:w="125" w:type="dxa"/>
            </w:tcMar>
            <w:shd w:fill="262626"/>
          </w:tcPr>
          <w:p>
            <w:pPr>
              <w:jc w:val="center"/>
            </w:pPr>
            <w:r>
              <w:rPr>
                <w:rFonts w:ascii="Arial" w:hAnsi="Arial"/>
                <w:b/>
                <w:color w:val="FFFFFF"/>
                <w:sz w:val="16"/>
              </w:rPr>
              <w:t>Risk</w:t>
            </w:r>
          </w:p>
        </w:tc>
        <w:tc>
          <w:tcPr>
            <w:tcW w:type="dxa" w:w="7488"/>
            <w:vAlign w:val="center"/>
            <w:tcMar>
              <w:top w:w="105" w:type="dxa"/>
              <w:start w:w="125" w:type="dxa"/>
              <w:bottom w:w="105" w:type="dxa"/>
              <w:end w:w="125" w:type="dxa"/>
            </w:tcMar>
            <w:shd w:fill="262626"/>
          </w:tcPr>
          <w:p>
            <w:pPr>
              <w:jc w:val="center"/>
            </w:pPr>
            <w:r>
              <w:rPr>
                <w:rFonts w:ascii="Arial" w:hAnsi="Arial"/>
                <w:b/>
                <w:color w:val="FFFFFF"/>
                <w:sz w:val="16"/>
              </w:rPr>
              <w:t>Response in the prototype</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Unsafe or unsupported output</w:t>
            </w:r>
          </w:p>
        </w:tc>
        <w:tc>
          <w:tcPr>
            <w:tcW w:type="dxa" w:w="7488"/>
            <w:vAlign w:val="center"/>
            <w:tcMar>
              <w:top w:w="105" w:type="dxa"/>
              <w:start w:w="125" w:type="dxa"/>
              <w:bottom w:w="105" w:type="dxa"/>
              <w:end w:w="125" w:type="dxa"/>
            </w:tcMar>
          </w:tcPr>
          <w:p>
            <w:pPr>
              <w:spacing w:after="0"/>
            </w:pPr>
            <w:r>
              <w:rPr>
                <w:rFonts w:ascii="Arial" w:hAnsi="Arial"/>
                <w:sz w:val="16"/>
              </w:rPr>
              <w:t>Keep AI text preliminary, validate the report schema, retain source evidence and require doctor approval before release.</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Missed or false urgent alerts</w:t>
            </w:r>
          </w:p>
        </w:tc>
        <w:tc>
          <w:tcPr>
            <w:tcW w:type="dxa" w:w="7488"/>
            <w:vAlign w:val="center"/>
            <w:tcMar>
              <w:top w:w="105" w:type="dxa"/>
              <w:start w:w="125" w:type="dxa"/>
              <w:bottom w:w="105" w:type="dxa"/>
              <w:end w:w="125" w:type="dxa"/>
            </w:tcMar>
            <w:shd w:fill="F2F2F2"/>
          </w:tcPr>
          <w:p>
            <w:pPr>
              <w:spacing w:after="0"/>
            </w:pPr>
            <w:r>
              <w:rPr>
                <w:rFonts w:ascii="Arial" w:hAnsi="Arial"/>
                <w:sz w:val="16"/>
              </w:rPr>
              <w:t>Run rule checks on every turn and on the completed report; test multilingual emergency and non emergency fixtures.</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Speech or translation mistakes</w:t>
            </w:r>
          </w:p>
        </w:tc>
        <w:tc>
          <w:tcPr>
            <w:tcW w:type="dxa" w:w="7488"/>
            <w:vAlign w:val="center"/>
            <w:tcMar>
              <w:top w:w="105" w:type="dxa"/>
              <w:start w:w="125" w:type="dxa"/>
              <w:bottom w:w="105" w:type="dxa"/>
              <w:end w:w="125" w:type="dxa"/>
            </w:tcMar>
          </w:tcPr>
          <w:p>
            <w:pPr>
              <w:spacing w:after="0"/>
            </w:pPr>
            <w:r>
              <w:rPr>
                <w:rFonts w:ascii="Arial" w:hAnsi="Arial"/>
                <w:sz w:val="16"/>
              </w:rPr>
              <w:t>Show editable transcripts and retain the original patient wording, especially negation, numbers and medicine names.</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Conflicting doctor corrections</w:t>
            </w:r>
          </w:p>
        </w:tc>
        <w:tc>
          <w:tcPr>
            <w:tcW w:type="dxa" w:w="7488"/>
            <w:vAlign w:val="center"/>
            <w:tcMar>
              <w:top w:w="105" w:type="dxa"/>
              <w:start w:w="125" w:type="dxa"/>
              <w:bottom w:w="105" w:type="dxa"/>
              <w:end w:w="125" w:type="dxa"/>
            </w:tcMar>
            <w:shd w:fill="F2F2F2"/>
          </w:tcPr>
          <w:p>
            <w:pPr>
              <w:spacing w:after="0"/>
            </w:pPr>
            <w:r>
              <w:rPr>
                <w:rFonts w:ascii="Arial" w:hAnsi="Arial"/>
                <w:sz w:val="16"/>
              </w:rPr>
              <w:t>Keep patient specific decisions separate; block reuse until the context and conflict receive qualified review.</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Limited free GPU time</w:t>
            </w:r>
          </w:p>
        </w:tc>
        <w:tc>
          <w:tcPr>
            <w:tcW w:type="dxa" w:w="7488"/>
            <w:vAlign w:val="center"/>
            <w:tcMar>
              <w:top w:w="105" w:type="dxa"/>
              <w:start w:w="125" w:type="dxa"/>
              <w:bottom w:w="105" w:type="dxa"/>
              <w:end w:w="125" w:type="dxa"/>
            </w:tcMar>
          </w:tcPr>
          <w:p>
            <w:pPr>
              <w:spacing w:after="0"/>
            </w:pPr>
            <w:r>
              <w:rPr>
                <w:rFonts w:ascii="Arial" w:hAnsi="Arial"/>
                <w:sz w:val="16"/>
              </w:rPr>
              <w:t>Use a small base model, four bit loading, a short smoke test and checkpoints; preserve all outputs before Colab disconnects.</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Prototype evidence limits</w:t>
            </w:r>
          </w:p>
        </w:tc>
        <w:tc>
          <w:tcPr>
            <w:tcW w:type="dxa" w:w="7488"/>
            <w:vAlign w:val="center"/>
            <w:tcMar>
              <w:top w:w="105" w:type="dxa"/>
              <w:start w:w="125" w:type="dxa"/>
              <w:bottom w:w="105" w:type="dxa"/>
              <w:end w:w="125" w:type="dxa"/>
            </w:tcMar>
            <w:shd w:fill="F2F2F2"/>
          </w:tcPr>
          <w:p>
            <w:pPr>
              <w:spacing w:after="0"/>
            </w:pPr>
            <w:r>
              <w:rPr>
                <w:rFonts w:ascii="Arial" w:hAnsi="Arial"/>
                <w:sz w:val="16"/>
              </w:rPr>
              <w:t>Use synthetic cases, report actual counts and failures, and avoid claiming clinical accuracy from a small demonstration.</w:t>
            </w:r>
          </w:p>
        </w:tc>
      </w:tr>
    </w:tbl>
    <w:p>
      <w:pPr>
        <w:spacing w:after="0"/>
      </w:pPr>
    </w:p>
    <w:p>
      <w:pPr>
        <w:pStyle w:val="Heading1"/>
        <w:keepNext/>
      </w:pPr>
      <w:r>
        <w:t>Additional Details</w:t>
      </w:r>
    </w:p>
    <w:p>
      <w:r>
        <w:rPr>
          <w:rFonts w:ascii="Arial" w:hAnsi="Arial"/>
        </w:rPr>
        <w:t>The live prototype currently relies on configured provider models for most language generation, with Groq Whisper for speech transcription. The Colab QLoRA adapter is a distinct model experiment and is labeled separately in the demonstration. Free Colab is used for training and batch evaluation rather than as a permanent website server.</w:t>
      </w:r>
    </w:p>
    <w:p>
      <w:r>
        <w:rPr>
          <w:rFonts w:ascii="Arial" w:hAnsi="Arial"/>
        </w:rPr>
        <w:t>Competition evidence centers on three synthetic journeys: a routine consultation, an urgent case and an emergency red flag case. A fourth journey shows a doctor rejecting a SOAP section, requesting a correction and reviewing the revised version. Success is reported through observable behavior and measured results, including red flag recall, false alarms, required fact coverage, unsupported statements, report validity and latency.</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ClinLoop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414141"/>
        <w:sz w:val="15"/>
      </w:rPr>
      <w:t>CLINLOOP AI  |  PROJECT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