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18F60">
      <w:pPr>
        <w:pStyle w:val="15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Домашнее задание</w:t>
      </w:r>
    </w:p>
    <w:p w14:paraId="4ADFF8FF">
      <w:pPr>
        <w:spacing w:after="30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Виды, цели и уровни интеграции программных модулей</w:t>
      </w:r>
    </w:p>
    <w:p w14:paraId="77D8A00F">
      <w:pPr>
        <w:pStyle w:val="2"/>
      </w:pPr>
      <w:r>
        <w:rPr>
          <w:b/>
          <w:bCs/>
        </w:rPr>
        <w:t>1. Пример бизнес-процесса</w:t>
      </w:r>
    </w:p>
    <w:p w14:paraId="07633B04">
      <w:pPr>
        <w:spacing w:after="80"/>
      </w:pPr>
      <w:r>
        <w:rPr>
          <w:b/>
          <w:bCs/>
          <w:sz w:val="22"/>
          <w:szCs w:val="22"/>
        </w:rPr>
        <w:t xml:space="preserve">Сфера: </w:t>
      </w:r>
      <w:r>
        <w:rPr>
          <w:sz w:val="22"/>
          <w:szCs w:val="22"/>
        </w:rPr>
        <w:t>медицина (поликлиника / стационар).</w:t>
      </w:r>
    </w:p>
    <w:p w14:paraId="5191D4CD">
      <w:pPr>
        <w:spacing w:after="80"/>
      </w:pPr>
      <w:r>
        <w:rPr>
          <w:b/>
          <w:bCs/>
          <w:sz w:val="22"/>
          <w:szCs w:val="22"/>
        </w:rPr>
        <w:t xml:space="preserve">Процесс: </w:t>
      </w:r>
      <w:r>
        <w:rPr>
          <w:sz w:val="22"/>
          <w:szCs w:val="22"/>
        </w:rPr>
        <w:t>обращение пациента → диагностика → лечение → выписка.</w:t>
      </w:r>
    </w:p>
    <w:p w14:paraId="5D2F8D1A">
      <w:pPr>
        <w:spacing w:before="120" w:after="60"/>
      </w:pPr>
      <w:r>
        <w:rPr>
          <w:b/>
          <w:bCs/>
          <w:sz w:val="22"/>
          <w:szCs w:val="22"/>
        </w:rPr>
        <w:t>Участвующие информационные системы:</w:t>
      </w:r>
    </w:p>
    <w:p w14:paraId="11F9732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Система регистрации пациентов (электронная регистратура)</w:t>
      </w:r>
    </w:p>
    <w:p w14:paraId="7BAFA01D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Электронная медицинская карта (ЭМК)</w:t>
      </w:r>
    </w:p>
    <w:p w14:paraId="70465506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Лабораторная информационная система (ЛИС)</w:t>
      </w:r>
    </w:p>
    <w:p w14:paraId="3541A47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Аптечная система</w:t>
      </w:r>
    </w:p>
    <w:p w14:paraId="73A6D6D2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Бухгалтерская / биллинговая система</w:t>
      </w:r>
    </w:p>
    <w:p w14:paraId="0D862C56">
      <w:pPr>
        <w:pStyle w:val="16"/>
        <w:numPr>
          <w:ilvl w:val="0"/>
          <w:numId w:val="1"/>
        </w:numPr>
        <w:spacing w:after="100"/>
      </w:pPr>
      <w:r>
        <w:rPr>
          <w:sz w:val="22"/>
          <w:szCs w:val="22"/>
        </w:rPr>
        <w:t>Система страховых компаний (при наличии)</w:t>
      </w:r>
      <w:bookmarkStart w:id="0" w:name="_GoBack"/>
      <w:bookmarkEnd w:id="0"/>
    </w:p>
    <w:p w14:paraId="411FDDCE">
      <w:pPr>
        <w:spacing w:before="80" w:after="60"/>
      </w:pPr>
      <w:r>
        <w:rPr>
          <w:b/>
          <w:bCs/>
          <w:sz w:val="22"/>
          <w:szCs w:val="22"/>
        </w:rPr>
        <w:t>Передаваемые данные:</w:t>
      </w:r>
    </w:p>
    <w:p w14:paraId="5C73DF0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Персональные данные пациента, номер полиса</w:t>
      </w:r>
    </w:p>
    <w:p w14:paraId="70175B2E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Направления на анализы и результаты исследований</w:t>
      </w:r>
    </w:p>
    <w:p w14:paraId="7988BAC5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Назначения лекарств и факт их выдачи</w:t>
      </w:r>
    </w:p>
    <w:p w14:paraId="69C53079">
      <w:pPr>
        <w:pStyle w:val="16"/>
        <w:numPr>
          <w:ilvl w:val="0"/>
          <w:numId w:val="1"/>
        </w:numPr>
        <w:spacing w:after="200"/>
      </w:pPr>
      <w:r>
        <w:rPr>
          <w:sz w:val="22"/>
          <w:szCs w:val="22"/>
        </w:rPr>
        <w:t>Счета, акты выполненных работ, данные для страховой</w:t>
      </w:r>
    </w:p>
    <w:p w14:paraId="18B47BE6">
      <w:pPr>
        <w:pStyle w:val="2"/>
      </w:pPr>
      <w:r>
        <w:rPr>
          <w:b/>
          <w:bCs/>
        </w:rPr>
        <w:t>2. Уровень интеграции</w:t>
      </w:r>
    </w:p>
    <w:p w14:paraId="2615449A">
      <w:pPr>
        <w:spacing w:after="80"/>
      </w:pPr>
      <w:r>
        <w:rPr>
          <w:b/>
          <w:bCs/>
          <w:sz w:val="22"/>
          <w:szCs w:val="22"/>
        </w:rPr>
        <w:t xml:space="preserve">Сейчас: </w:t>
      </w:r>
      <w:r>
        <w:rPr>
          <w:sz w:val="22"/>
          <w:szCs w:val="22"/>
        </w:rPr>
        <w:t>чаще всего уровень данных (обмен файлами или через общую БД) + частично Point-to-Point. Данные часто переносят вручную или через простые выгрузки.</w:t>
      </w:r>
    </w:p>
    <w:p w14:paraId="6108818F">
      <w:pPr>
        <w:spacing w:after="200"/>
      </w:pPr>
      <w:r>
        <w:rPr>
          <w:b/>
          <w:bCs/>
          <w:sz w:val="22"/>
          <w:szCs w:val="22"/>
        </w:rPr>
        <w:t xml:space="preserve">Можно поднять до: </w:t>
      </w:r>
      <w:r>
        <w:rPr>
          <w:sz w:val="22"/>
          <w:szCs w:val="22"/>
        </w:rPr>
        <w:t>уровня бизнес-процессов (с использованием ESB или BPM-системы). Тогда весь маршрут пациента будет управляться централизованной моделью процесса, а системы будут получать и отдавать данные автоматически по событиям.</w:t>
      </w:r>
    </w:p>
    <w:p w14:paraId="10690595">
      <w:pPr>
        <w:pStyle w:val="2"/>
      </w:pPr>
      <w:r>
        <w:rPr>
          <w:b/>
          <w:bCs/>
        </w:rPr>
        <w:t>3. Типовые ошибки и способы предотвращения</w:t>
      </w:r>
    </w:p>
    <w:p w14:paraId="7552A4A6">
      <w:pPr>
        <w:spacing w:after="120"/>
      </w:pPr>
      <w:r>
        <w:rPr>
          <w:sz w:val="22"/>
          <w:szCs w:val="22"/>
        </w:rPr>
        <w:t>Две наиболее характерные ошибки при интеграции в данном процессе:</w:t>
      </w:r>
    </w:p>
    <w:tbl>
      <w:tblPr>
        <w:tblStyle w:val="9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700"/>
        <w:gridCol w:w="3700"/>
      </w:tblGrid>
      <w:tr w14:paraId="6A32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2BF874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Ошибка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711CD3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Как возникает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vAlign w:val="center"/>
          </w:tcPr>
          <w:p w14:paraId="4A365F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Как предотвратить</w:t>
            </w:r>
          </w:p>
        </w:tc>
      </w:tr>
      <w:tr w14:paraId="76A0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30841DC0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Несогласованность идентификаторов пациента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FFC3EAF">
            <w:r>
              <w:rPr>
                <w:rFonts w:ascii="Arial" w:hAnsi="Arial" w:eastAsia="Arial" w:cs="Arial"/>
                <w:sz w:val="18"/>
                <w:szCs w:val="18"/>
              </w:rPr>
              <w:t>В разных системах у одного человека разные ID или опечатки в ФИО / дате рождения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C9BAE6">
            <w:r>
              <w:rPr>
                <w:rFonts w:ascii="Arial" w:hAnsi="Arial" w:eastAsia="Arial" w:cs="Arial"/>
                <w:sz w:val="18"/>
                <w:szCs w:val="18"/>
              </w:rPr>
              <w:t>Единый мастер-идентификатор пациента + строгая валидация и сопоставление при каждой передаче данных</w:t>
            </w:r>
          </w:p>
        </w:tc>
      </w:tr>
      <w:tr w14:paraId="513FD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</w:tcPr>
          <w:p w14:paraId="0D5A195D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Потеря или дублирование назначений / анализов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2D1D575">
            <w:r>
              <w:rPr>
                <w:rFonts w:ascii="Arial" w:hAnsi="Arial" w:eastAsia="Arial" w:cs="Arial"/>
                <w:sz w:val="18"/>
                <w:szCs w:val="18"/>
              </w:rPr>
              <w:t>Сообщение не дошло, система повторно отправила данные или произошёл сбой</w:t>
            </w:r>
          </w:p>
        </w:tc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DD10636">
            <w:r>
              <w:rPr>
                <w:rFonts w:ascii="Arial" w:hAnsi="Arial" w:eastAsia="Arial" w:cs="Arial"/>
                <w:sz w:val="18"/>
                <w:szCs w:val="18"/>
              </w:rPr>
              <w:t>Транзакционный обмен, подтверждения доставки (ACK), идемпотентность операций и журналирование всех сообщений</w:t>
            </w:r>
          </w:p>
        </w:tc>
      </w:tr>
    </w:tbl>
    <w:p w14:paraId="04288047">
      <w:pPr>
        <w:spacing w:after="200"/>
      </w:pPr>
    </w:p>
    <w:p w14:paraId="080E5DB4">
      <w:pPr>
        <w:pStyle w:val="2"/>
      </w:pPr>
      <w:r>
        <w:rPr>
          <w:b/>
          <w:bCs/>
        </w:rPr>
        <w:t>4. Пример системы с подходом «точка-точка»</w:t>
      </w:r>
    </w:p>
    <w:p w14:paraId="74C6F82A">
      <w:pPr>
        <w:spacing w:after="80"/>
      </w:pPr>
      <w:r>
        <w:rPr>
          <w:b/>
          <w:bCs/>
          <w:sz w:val="22"/>
          <w:szCs w:val="22"/>
        </w:rPr>
        <w:t xml:space="preserve">Пример: </w:t>
      </w:r>
      <w:r>
        <w:rPr>
          <w:sz w:val="22"/>
          <w:szCs w:val="22"/>
        </w:rPr>
        <w:t>маленькая частная клиника (2–3 врача, регистратура, своя лаборатория и бухгалтерия).</w:t>
      </w:r>
    </w:p>
    <w:p w14:paraId="6AA8F178">
      <w:pPr>
        <w:spacing w:before="80" w:after="60"/>
      </w:pPr>
      <w:r>
        <w:rPr>
          <w:b/>
          <w:bCs/>
          <w:sz w:val="22"/>
          <w:szCs w:val="22"/>
        </w:rPr>
        <w:t>Почему подход Point-to-Point оправдан:</w:t>
      </w:r>
    </w:p>
    <w:p w14:paraId="048D9C89">
      <w:pPr>
        <w:pStyle w:val="16"/>
        <w:numPr>
          <w:ilvl w:val="0"/>
          <w:numId w:val="1"/>
        </w:numPr>
      </w:pPr>
      <w:r>
        <w:rPr>
          <w:sz w:val="22"/>
          <w:szCs w:val="22"/>
        </w:rPr>
        <w:t>Систем мало (N ≤ 4) → количество связей небольшое и легко контролируется</w:t>
      </w:r>
    </w:p>
    <w:p w14:paraId="653BCA81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Бюджет ограничен — нет смысла внедрять ESB</w:t>
      </w:r>
    </w:p>
    <w:p w14:paraId="0105D28B">
      <w:pPr>
        <w:pStyle w:val="16"/>
        <w:numPr>
          <w:ilvl w:val="0"/>
          <w:numId w:val="1"/>
        </w:numPr>
      </w:pPr>
      <w:r>
        <w:rPr>
          <w:sz w:val="22"/>
          <w:szCs w:val="22"/>
        </w:rPr>
        <w:t>Бизнес-процессы простые и редко меняются</w:t>
      </w:r>
    </w:p>
    <w:p w14:paraId="7EE052A3">
      <w:pPr>
        <w:pStyle w:val="16"/>
        <w:numPr>
          <w:ilvl w:val="0"/>
          <w:numId w:val="1"/>
        </w:numPr>
        <w:spacing w:after="200"/>
      </w:pPr>
      <w:r>
        <w:rPr>
          <w:sz w:val="22"/>
          <w:szCs w:val="22"/>
        </w:rPr>
        <w:t>Требования к масштабируемости низкие</w:t>
      </w:r>
    </w:p>
    <w:p w14:paraId="375593F5">
      <w:pPr>
        <w:spacing w:after="100"/>
      </w:pPr>
      <w:r>
        <w:rPr>
          <w:i/>
          <w:iCs/>
          <w:sz w:val="22"/>
          <w:szCs w:val="22"/>
        </w:rPr>
        <w:t>В таком случае прямые интеграции между системами получаются проще, дешевле и вполне достаточны.</w:t>
      </w:r>
    </w:p>
    <w:sectPr>
      <w:headerReference r:id="rId3" w:type="default"/>
      <w:footerReference r:id="rId4" w:type="default"/>
      <w:pgSz w:w="11906" w:h="16838"/>
      <w:pgMar w:top="850" w:right="850" w:bottom="85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BA1E6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2500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77C6D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pPr>
      <w:spacing w:before="0" w:after="200"/>
      <w:jc w:val="center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2026-10-05T07:07:00Z</dcterms:created>
  <dc:creator>Un-named</dc:creator>
  <cp:lastModifiedBy>Daniel</cp:lastModifiedBy>
  <dcterms:modified xsi:type="dcterms:W3CDTF">2026-10-05T09:44:47Z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F8AC3B77594A4272AC8B4E5E8379AEFE_12</vt:lpwstr>
  </property>
</Properties>
</file>