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Calibri" w:hAnsi="Calibri"/>
          <w:b/>
          <w:i w:val="0"/>
          <w:color w:val="000000"/>
          <w:sz w:val="22"/>
        </w:rPr>
        <w:t>FICHE DE PRÉPARATION DU FORMATEUR</w:t>
      </w:r>
    </w:p>
    <w:p>
      <w:pPr>
        <w:spacing w:after="80"/>
        <w:jc w:val="center"/>
      </w:pPr>
      <w:r>
        <w:rPr>
          <w:rFonts w:ascii="Calibri" w:hAnsi="Calibri"/>
          <w:b/>
          <w:i w:val="0"/>
          <w:color w:val="000000"/>
          <w:sz w:val="42"/>
        </w:rPr>
        <w:t>Module 1 - Présentation générale du SNGSC / HAUQE Certif</w:t>
      </w:r>
    </w:p>
    <w:p>
      <w:pPr>
        <w:spacing w:after="360"/>
        <w:jc w:val="center"/>
      </w:pPr>
      <w:r>
        <w:rPr>
          <w:rFonts w:ascii="Calibri" w:hAnsi="Calibri"/>
          <w:b w:val="0"/>
          <w:i w:val="0"/>
          <w:color w:val="000000"/>
          <w:sz w:val="22"/>
        </w:rPr>
        <w:t>Durée : 45 minutes de formation + 15 minutes de questions-réponses</w:t>
      </w:r>
    </w:p>
    <w:tbl>
      <w:tblPr>
        <w:tblW w:type="dxa" w:w="9360"/>
        <w:tblLayout w:type="fixed"/>
        <w:tblLook w:firstColumn="1" w:firstRow="1" w:lastColumn="0" w:lastRow="0" w:noHBand="0" w:noVBand="1" w:val="04A0"/>
        <w:tblInd w:w="120" w:type="dxa"/>
      </w:tblPr>
      <w:tblGrid>
        <w:gridCol w:w="4680"/>
        <w:gridCol w:w="4680"/>
      </w:tblGrid>
      <w:tr>
        <w:tc>
          <w:tcPr>
            <w:tcW w:type="dxa" w:w="4680"/>
            <w:tcMar>
              <w:top w:w="80" w:type="dxa"/>
              <w:start w:w="120" w:type="dxa"/>
              <w:bottom w:w="80" w:type="dxa"/>
              <w:end w:w="120" w:type="dxa"/>
            </w:tcMar>
            <w:shd w:fill="F2F2F2"/>
            <w:vAlign w:val="center"/>
          </w:tcPr>
          <w:p>
            <w:pPr>
              <w:jc w:val="center"/>
            </w:pPr>
            <w:r>
              <w:rPr>
                <w:rFonts w:ascii="Calibri" w:hAnsi="Calibri"/>
                <w:b/>
                <w:i w:val="0"/>
                <w:color w:val="000000"/>
                <w:sz w:val="20"/>
              </w:rPr>
              <w:t>Public</w:t>
            </w:r>
          </w:p>
        </w:tc>
        <w:tc>
          <w:tcPr>
            <w:tcW w:type="dxa" w:w="4680"/>
            <w:tcMar>
              <w:top w:w="80" w:type="dxa"/>
              <w:start w:w="120" w:type="dxa"/>
              <w:bottom w:w="80" w:type="dxa"/>
              <w:end w:w="120" w:type="dxa"/>
            </w:tcMar>
            <w:shd w:fill="F2F2F2"/>
            <w:vAlign w:val="center"/>
          </w:tcPr>
          <w:p>
            <w:pPr>
              <w:jc w:val="center"/>
            </w:pPr>
            <w:r>
              <w:rPr>
                <w:rFonts w:ascii="Calibri" w:hAnsi="Calibri"/>
                <w:b w:val="0"/>
                <w:i w:val="0"/>
                <w:color w:val="000000"/>
                <w:sz w:val="20"/>
              </w:rPr>
              <w:t>Tous les participants</w:t>
            </w:r>
          </w:p>
        </w:tc>
      </w:tr>
      <w:tr>
        <w:tc>
          <w:tcPr>
            <w:tcW w:type="dxa" w:w="4680"/>
            <w:tcMar>
              <w:top w:w="80" w:type="dxa"/>
              <w:start w:w="120" w:type="dxa"/>
              <w:bottom w:w="80" w:type="dxa"/>
              <w:end w:w="120" w:type="dxa"/>
            </w:tcMar>
            <w:shd w:fill="F2F2F2"/>
            <w:vAlign w:val="center"/>
          </w:tcPr>
          <w:p>
            <w:pPr>
              <w:jc w:val="center"/>
            </w:pPr>
            <w:r>
              <w:rPr>
                <w:rFonts w:ascii="Calibri" w:hAnsi="Calibri"/>
                <w:b/>
                <w:i w:val="0"/>
                <w:color w:val="000000"/>
                <w:sz w:val="20"/>
              </w:rPr>
              <w:t>Résultat attendu</w:t>
            </w:r>
          </w:p>
        </w:tc>
        <w:tc>
          <w:tcPr>
            <w:tcW w:type="dxa" w:w="4680"/>
            <w:tcMar>
              <w:top w:w="80" w:type="dxa"/>
              <w:start w:w="120" w:type="dxa"/>
              <w:bottom w:w="80" w:type="dxa"/>
              <w:end w:w="120" w:type="dxa"/>
            </w:tcMar>
            <w:shd w:fill="F2F2F2"/>
            <w:vAlign w:val="center"/>
          </w:tcPr>
          <w:p>
            <w:pPr>
              <w:jc w:val="center"/>
            </w:pPr>
            <w:r>
              <w:rPr>
                <w:rFonts w:ascii="Calibri" w:hAnsi="Calibri"/>
                <w:b w:val="0"/>
                <w:i w:val="0"/>
                <w:color w:val="000000"/>
                <w:sz w:val="20"/>
              </w:rPr>
              <w:t>Comprendre l’architecture fonctionnelle et identifier son périmètre d’intervention.</w:t>
            </w:r>
          </w:p>
        </w:tc>
      </w:tr>
    </w:tbl>
    <w:p>
      <w:pPr>
        <w:pStyle w:val="Heading1"/>
      </w:pPr>
      <w:r>
        <w:t>Objectifs</w:t>
      </w:r>
    </w:p>
    <w:p>
      <w:pPr>
        <w:pStyle w:val="ListBullet"/>
        <w:spacing w:after="60" w:line="280" w:lineRule="auto"/>
      </w:pPr>
      <w:r>
        <w:rPr>
          <w:rFonts w:ascii="Calibri" w:hAnsi="Calibri"/>
          <w:b w:val="0"/>
          <w:i w:val="0"/>
          <w:color w:val="000000"/>
          <w:sz w:val="21"/>
        </w:rPr>
        <w:t>Comprendre la finalité, le périmètre et la gouvernance du SNGSC.</w:t>
      </w:r>
    </w:p>
    <w:p>
      <w:pPr>
        <w:pStyle w:val="ListBullet"/>
        <w:spacing w:after="60" w:line="280" w:lineRule="auto"/>
      </w:pPr>
      <w:r>
        <w:rPr>
          <w:rFonts w:ascii="Calibri" w:hAnsi="Calibri"/>
          <w:b w:val="0"/>
          <w:i w:val="0"/>
          <w:color w:val="000000"/>
          <w:sz w:val="21"/>
        </w:rPr>
        <w:t>Situer chaque acteur dans le parcours national de suivi des certifications.</w:t>
      </w:r>
    </w:p>
    <w:p>
      <w:pPr>
        <w:pStyle w:val="Heading1"/>
      </w:pPr>
      <w:r>
        <w:t>Déroulé minuté</w:t>
      </w:r>
    </w:p>
    <w:tbl>
      <w:tblPr>
        <w:tblW w:type="dxa" w:w="9360"/>
        <w:tblLayout w:type="fixed"/>
        <w:tblLook w:firstColumn="1" w:firstRow="1" w:lastColumn="0" w:lastRow="0" w:noHBand="0" w:noVBand="1" w:val="04A0"/>
        <w:tblInd w:w="120" w:type="dxa"/>
      </w:tblPr>
      <w:tblGrid>
        <w:gridCol w:w="1200"/>
        <w:gridCol w:w="3180"/>
        <w:gridCol w:w="4980"/>
      </w:tblGrid>
      <w:tr>
        <w:tc>
          <w:tcPr>
            <w:tcW w:type="dxa" w:w="1200"/>
            <w:tcMar>
              <w:top w:w="80" w:type="dxa"/>
              <w:start w:w="120" w:type="dxa"/>
              <w:bottom w:w="80" w:type="dxa"/>
              <w:end w:w="120" w:type="dxa"/>
            </w:tcMar>
            <w:shd w:fill="D9D9D9"/>
          </w:tcPr>
          <w:p>
            <w:pPr>
              <w:jc w:val="center"/>
            </w:pPr>
            <w:r>
              <w:rPr>
                <w:rFonts w:ascii="Calibri" w:hAnsi="Calibri"/>
                <w:b/>
                <w:i w:val="0"/>
                <w:color w:val="000000"/>
                <w:sz w:val="19"/>
              </w:rPr>
              <w:t>Temps</w:t>
            </w:r>
          </w:p>
        </w:tc>
        <w:tc>
          <w:tcPr>
            <w:tcW w:type="dxa" w:w="3180"/>
            <w:tcMar>
              <w:top w:w="80" w:type="dxa"/>
              <w:start w:w="120" w:type="dxa"/>
              <w:bottom w:w="80" w:type="dxa"/>
              <w:end w:w="120" w:type="dxa"/>
            </w:tcMar>
            <w:shd w:fill="D9D9D9"/>
          </w:tcPr>
          <w:p>
            <w:pPr>
              <w:jc w:val="center"/>
            </w:pPr>
            <w:r>
              <w:rPr>
                <w:rFonts w:ascii="Calibri" w:hAnsi="Calibri"/>
                <w:b/>
                <w:i w:val="0"/>
                <w:color w:val="000000"/>
                <w:sz w:val="19"/>
              </w:rPr>
              <w:t>Point</w:t>
            </w:r>
          </w:p>
        </w:tc>
        <w:tc>
          <w:tcPr>
            <w:tcW w:type="dxa" w:w="4980"/>
            <w:tcMar>
              <w:top w:w="80" w:type="dxa"/>
              <w:start w:w="120" w:type="dxa"/>
              <w:bottom w:w="80" w:type="dxa"/>
              <w:end w:w="120" w:type="dxa"/>
            </w:tcMar>
            <w:shd w:fill="D9D9D9"/>
          </w:tcPr>
          <w:p>
            <w:pPr>
              <w:jc w:val="center"/>
            </w:pPr>
            <w:r>
              <w:rPr>
                <w:rFonts w:ascii="Calibri" w:hAnsi="Calibri"/>
                <w:b/>
                <w:i w:val="0"/>
                <w:color w:val="000000"/>
                <w:sz w:val="19"/>
              </w:rPr>
              <w:t>Intention</w:t>
            </w:r>
          </w:p>
        </w:tc>
      </w:tr>
      <w:tr>
        <w:tc>
          <w:tcPr>
            <w:tcW w:type="dxa" w:w="1200"/>
            <w:shd w:fill="F2F2F2"/>
            <w:tcMar>
              <w:top w:w="80" w:type="dxa"/>
              <w:start w:w="120" w:type="dxa"/>
              <w:bottom w:w="80" w:type="dxa"/>
              <w:end w:w="120" w:type="dxa"/>
            </w:tcMar>
          </w:tcPr>
          <w:p>
            <w:pPr>
              <w:jc w:val="center"/>
            </w:pPr>
            <w:r>
              <w:rPr>
                <w:rFonts w:ascii="Calibri" w:hAnsi="Calibri"/>
                <w:b/>
                <w:i w:val="0"/>
                <w:color w:val="000000"/>
                <w:sz w:val="18"/>
              </w:rPr>
              <w:t>0-3 min</w:t>
            </w:r>
          </w:p>
        </w:tc>
        <w:tc>
          <w:tcPr>
            <w:tcW w:type="dxa" w:w="3180"/>
            <w:shd w:fill="F2F2F2"/>
            <w:tcMar>
              <w:top w:w="80" w:type="dxa"/>
              <w:start w:w="120" w:type="dxa"/>
              <w:bottom w:w="80" w:type="dxa"/>
              <w:end w:w="120" w:type="dxa"/>
            </w:tcMar>
          </w:tcPr>
          <w:p>
            <w:pPr>
              <w:jc w:val="left"/>
            </w:pPr>
            <w:r>
              <w:rPr>
                <w:rFonts w:ascii="Calibri" w:hAnsi="Calibri"/>
                <w:b w:val="0"/>
                <w:i w:val="0"/>
                <w:color w:val="000000"/>
                <w:sz w:val="18"/>
              </w:rPr>
              <w:t>Ouverture et objectifs</w:t>
            </w:r>
          </w:p>
        </w:tc>
        <w:tc>
          <w:tcPr>
            <w:tcW w:type="dxa" w:w="4980"/>
            <w:shd w:fill="F2F2F2"/>
            <w:tcMar>
              <w:top w:w="80" w:type="dxa"/>
              <w:start w:w="120" w:type="dxa"/>
              <w:bottom w:w="80" w:type="dxa"/>
              <w:end w:w="120" w:type="dxa"/>
            </w:tcMar>
          </w:tcPr>
          <w:p>
            <w:pPr>
              <w:jc w:val="left"/>
            </w:pPr>
            <w:r>
              <w:rPr>
                <w:rFonts w:ascii="Calibri" w:hAnsi="Calibri"/>
                <w:b w:val="0"/>
                <w:i w:val="0"/>
                <w:color w:val="000000"/>
                <w:sz w:val="18"/>
              </w:rPr>
              <w:t>Afficher le titre du module et les deux objectifs d’apprentissage.</w:t>
            </w:r>
          </w:p>
        </w:tc>
      </w:tr>
      <w:tr>
        <w:tc>
          <w:tcPr>
            <w:tcW w:type="dxa" w:w="1200"/>
            <w:shd w:fill="FFFFFF"/>
            <w:tcMar>
              <w:top w:w="80" w:type="dxa"/>
              <w:start w:w="120" w:type="dxa"/>
              <w:bottom w:w="80" w:type="dxa"/>
              <w:end w:w="120" w:type="dxa"/>
            </w:tcMar>
          </w:tcPr>
          <w:p>
            <w:pPr>
              <w:jc w:val="center"/>
            </w:pPr>
            <w:r>
              <w:rPr>
                <w:rFonts w:ascii="Calibri" w:hAnsi="Calibri"/>
                <w:b/>
                <w:i w:val="0"/>
                <w:color w:val="000000"/>
                <w:sz w:val="18"/>
              </w:rPr>
              <w:t>3-8 min</w:t>
            </w:r>
          </w:p>
        </w:tc>
        <w:tc>
          <w:tcPr>
            <w:tcW w:type="dxa" w:w="3180"/>
            <w:shd w:fill="FFFFFF"/>
            <w:tcMar>
              <w:top w:w="80" w:type="dxa"/>
              <w:start w:w="120" w:type="dxa"/>
              <w:bottom w:w="80" w:type="dxa"/>
              <w:end w:w="120" w:type="dxa"/>
            </w:tcMar>
          </w:tcPr>
          <w:p>
            <w:pPr>
              <w:jc w:val="left"/>
            </w:pPr>
            <w:r>
              <w:rPr>
                <w:rFonts w:ascii="Calibri" w:hAnsi="Calibri"/>
                <w:b w:val="0"/>
                <w:i w:val="0"/>
                <w:color w:val="000000"/>
                <w:sz w:val="18"/>
              </w:rPr>
              <w:t>Pourquoi le SNGSC ?</w:t>
            </w:r>
          </w:p>
        </w:tc>
        <w:tc>
          <w:tcPr>
            <w:tcW w:type="dxa" w:w="4980"/>
            <w:shd w:fill="FFFFFF"/>
            <w:tcMar>
              <w:top w:w="80" w:type="dxa"/>
              <w:start w:w="120" w:type="dxa"/>
              <w:bottom w:w="80" w:type="dxa"/>
              <w:end w:w="120" w:type="dxa"/>
            </w:tcMar>
          </w:tcPr>
          <w:p>
            <w:pPr>
              <w:jc w:val="left"/>
            </w:pPr>
            <w:r>
              <w:rPr>
                <w:rFonts w:ascii="Calibri" w:hAnsi="Calibri"/>
                <w:b w:val="0"/>
                <w:i w:val="0"/>
                <w:color w:val="000000"/>
                <w:sz w:val="18"/>
              </w:rPr>
              <w:t>Illustrer par un dossier qui serait difficile à suivre uniquement avec des fichiers papier ou des tableaux séparés.</w:t>
            </w:r>
          </w:p>
        </w:tc>
      </w:tr>
      <w:tr>
        <w:tc>
          <w:tcPr>
            <w:tcW w:type="dxa" w:w="1200"/>
            <w:shd w:fill="F2F2F2"/>
            <w:tcMar>
              <w:top w:w="80" w:type="dxa"/>
              <w:start w:w="120" w:type="dxa"/>
              <w:bottom w:w="80" w:type="dxa"/>
              <w:end w:w="120" w:type="dxa"/>
            </w:tcMar>
          </w:tcPr>
          <w:p>
            <w:pPr>
              <w:jc w:val="center"/>
            </w:pPr>
            <w:r>
              <w:rPr>
                <w:rFonts w:ascii="Calibri" w:hAnsi="Calibri"/>
                <w:b/>
                <w:i w:val="0"/>
                <w:color w:val="000000"/>
                <w:sz w:val="18"/>
              </w:rPr>
              <w:t>8-13 min</w:t>
            </w:r>
          </w:p>
        </w:tc>
        <w:tc>
          <w:tcPr>
            <w:tcW w:type="dxa" w:w="3180"/>
            <w:shd w:fill="F2F2F2"/>
            <w:tcMar>
              <w:top w:w="80" w:type="dxa"/>
              <w:start w:w="120" w:type="dxa"/>
              <w:bottom w:w="80" w:type="dxa"/>
              <w:end w:w="120" w:type="dxa"/>
            </w:tcMar>
          </w:tcPr>
          <w:p>
            <w:pPr>
              <w:jc w:val="left"/>
            </w:pPr>
            <w:r>
              <w:rPr>
                <w:rFonts w:ascii="Calibri" w:hAnsi="Calibri"/>
                <w:b w:val="0"/>
                <w:i w:val="0"/>
                <w:color w:val="000000"/>
                <w:sz w:val="18"/>
              </w:rPr>
              <w:t>Rôle de la HAUQE</w:t>
            </w:r>
          </w:p>
        </w:tc>
        <w:tc>
          <w:tcPr>
            <w:tcW w:type="dxa" w:w="4980"/>
            <w:shd w:fill="F2F2F2"/>
            <w:tcMar>
              <w:top w:w="80" w:type="dxa"/>
              <w:start w:w="120" w:type="dxa"/>
              <w:bottom w:w="80" w:type="dxa"/>
              <w:end w:w="120" w:type="dxa"/>
            </w:tcMar>
          </w:tcPr>
          <w:p>
            <w:pPr>
              <w:jc w:val="left"/>
            </w:pPr>
            <w:r>
              <w:rPr>
                <w:rFonts w:ascii="Calibri" w:hAnsi="Calibri"/>
                <w:b w:val="0"/>
                <w:i w:val="0"/>
                <w:color w:val="000000"/>
                <w:sz w:val="18"/>
              </w:rPr>
              <w:t>Afficher les mots-clés : suivi, contrôle, décision, veille et qualité des données.</w:t>
            </w:r>
          </w:p>
        </w:tc>
      </w:tr>
      <w:tr>
        <w:tc>
          <w:tcPr>
            <w:tcW w:type="dxa" w:w="1200"/>
            <w:shd w:fill="FFFFFF"/>
            <w:tcMar>
              <w:top w:w="80" w:type="dxa"/>
              <w:start w:w="120" w:type="dxa"/>
              <w:bottom w:w="80" w:type="dxa"/>
              <w:end w:w="120" w:type="dxa"/>
            </w:tcMar>
          </w:tcPr>
          <w:p>
            <w:pPr>
              <w:jc w:val="center"/>
            </w:pPr>
            <w:r>
              <w:rPr>
                <w:rFonts w:ascii="Calibri" w:hAnsi="Calibri"/>
                <w:b/>
                <w:i w:val="0"/>
                <w:color w:val="000000"/>
                <w:sz w:val="18"/>
              </w:rPr>
              <w:t>13-18 min</w:t>
            </w:r>
          </w:p>
        </w:tc>
        <w:tc>
          <w:tcPr>
            <w:tcW w:type="dxa" w:w="3180"/>
            <w:shd w:fill="FFFFFF"/>
            <w:tcMar>
              <w:top w:w="80" w:type="dxa"/>
              <w:start w:w="120" w:type="dxa"/>
              <w:bottom w:w="80" w:type="dxa"/>
              <w:end w:w="120" w:type="dxa"/>
            </w:tcMar>
          </w:tcPr>
          <w:p>
            <w:pPr>
              <w:jc w:val="left"/>
            </w:pPr>
            <w:r>
              <w:rPr>
                <w:rFonts w:ascii="Calibri" w:hAnsi="Calibri"/>
                <w:b w:val="0"/>
                <w:i w:val="0"/>
                <w:color w:val="000000"/>
                <w:sz w:val="18"/>
              </w:rPr>
              <w:t>Ce que permet le système</w:t>
            </w:r>
          </w:p>
        </w:tc>
        <w:tc>
          <w:tcPr>
            <w:tcW w:type="dxa" w:w="4980"/>
            <w:shd w:fill="FFFFFF"/>
            <w:tcMar>
              <w:top w:w="80" w:type="dxa"/>
              <w:start w:w="120" w:type="dxa"/>
              <w:bottom w:w="80" w:type="dxa"/>
              <w:end w:w="120" w:type="dxa"/>
            </w:tcMar>
          </w:tcPr>
          <w:p>
            <w:pPr>
              <w:jc w:val="left"/>
            </w:pPr>
            <w:r>
              <w:rPr>
                <w:rFonts w:ascii="Calibri" w:hAnsi="Calibri"/>
                <w:b w:val="0"/>
                <w:i w:val="0"/>
                <w:color w:val="000000"/>
                <w:sz w:val="18"/>
              </w:rPr>
              <w:t>Afficher une vue simple de la barre latérale ou une liste des principaux modules.</w:t>
            </w:r>
          </w:p>
        </w:tc>
      </w:tr>
      <w:tr>
        <w:tc>
          <w:tcPr>
            <w:tcW w:type="dxa" w:w="1200"/>
            <w:shd w:fill="F2F2F2"/>
            <w:tcMar>
              <w:top w:w="80" w:type="dxa"/>
              <w:start w:w="120" w:type="dxa"/>
              <w:bottom w:w="80" w:type="dxa"/>
              <w:end w:w="120" w:type="dxa"/>
            </w:tcMar>
          </w:tcPr>
          <w:p>
            <w:pPr>
              <w:jc w:val="center"/>
            </w:pPr>
            <w:r>
              <w:rPr>
                <w:rFonts w:ascii="Calibri" w:hAnsi="Calibri"/>
                <w:b/>
                <w:i w:val="0"/>
                <w:color w:val="000000"/>
                <w:sz w:val="18"/>
              </w:rPr>
              <w:t>18-27 min</w:t>
            </w:r>
          </w:p>
        </w:tc>
        <w:tc>
          <w:tcPr>
            <w:tcW w:type="dxa" w:w="3180"/>
            <w:shd w:fill="F2F2F2"/>
            <w:tcMar>
              <w:top w:w="80" w:type="dxa"/>
              <w:start w:w="120" w:type="dxa"/>
              <w:bottom w:w="80" w:type="dxa"/>
              <w:end w:w="120" w:type="dxa"/>
            </w:tcMar>
          </w:tcPr>
          <w:p>
            <w:pPr>
              <w:jc w:val="left"/>
            </w:pPr>
            <w:r>
              <w:rPr>
                <w:rFonts w:ascii="Calibri" w:hAnsi="Calibri"/>
                <w:b w:val="0"/>
                <w:i w:val="0"/>
                <w:color w:val="000000"/>
                <w:sz w:val="18"/>
              </w:rPr>
              <w:t>Parcours d’une certification</w:t>
            </w:r>
          </w:p>
        </w:tc>
        <w:tc>
          <w:tcPr>
            <w:tcW w:type="dxa" w:w="4980"/>
            <w:shd w:fill="F2F2F2"/>
            <w:tcMar>
              <w:top w:w="80" w:type="dxa"/>
              <w:start w:w="120" w:type="dxa"/>
              <w:bottom w:w="80" w:type="dxa"/>
              <w:end w:w="120" w:type="dxa"/>
            </w:tcMar>
          </w:tcPr>
          <w:p>
            <w:pPr>
              <w:jc w:val="left"/>
            </w:pPr>
            <w:r>
              <w:rPr>
                <w:rFonts w:ascii="Calibri" w:hAnsi="Calibri"/>
                <w:b w:val="0"/>
                <w:i w:val="0"/>
                <w:color w:val="000000"/>
                <w:sz w:val="18"/>
              </w:rPr>
              <w:t>Afficher une frise : Collecte → Vérification → Contrôle → Validation → BNEC → INFC/SNCC → Veille.</w:t>
            </w:r>
          </w:p>
        </w:tc>
      </w:tr>
      <w:tr>
        <w:tc>
          <w:tcPr>
            <w:tcW w:type="dxa" w:w="1200"/>
            <w:shd w:fill="FFFFFF"/>
            <w:tcMar>
              <w:top w:w="80" w:type="dxa"/>
              <w:start w:w="120" w:type="dxa"/>
              <w:bottom w:w="80" w:type="dxa"/>
              <w:end w:w="120" w:type="dxa"/>
            </w:tcMar>
          </w:tcPr>
          <w:p>
            <w:pPr>
              <w:jc w:val="center"/>
            </w:pPr>
            <w:r>
              <w:rPr>
                <w:rFonts w:ascii="Calibri" w:hAnsi="Calibri"/>
                <w:b/>
                <w:i w:val="0"/>
                <w:color w:val="000000"/>
                <w:sz w:val="18"/>
              </w:rPr>
              <w:t>27-33 min</w:t>
            </w:r>
          </w:p>
        </w:tc>
        <w:tc>
          <w:tcPr>
            <w:tcW w:type="dxa" w:w="3180"/>
            <w:shd w:fill="FFFFFF"/>
            <w:tcMar>
              <w:top w:w="80" w:type="dxa"/>
              <w:start w:w="120" w:type="dxa"/>
              <w:bottom w:w="80" w:type="dxa"/>
              <w:end w:w="120" w:type="dxa"/>
            </w:tcMar>
          </w:tcPr>
          <w:p>
            <w:pPr>
              <w:jc w:val="left"/>
            </w:pPr>
            <w:r>
              <w:rPr>
                <w:rFonts w:ascii="Calibri" w:hAnsi="Calibri"/>
                <w:b w:val="0"/>
                <w:i w:val="0"/>
                <w:color w:val="000000"/>
                <w:sz w:val="18"/>
              </w:rPr>
              <w:t>Acteurs et responsabilités</w:t>
            </w:r>
          </w:p>
        </w:tc>
        <w:tc>
          <w:tcPr>
            <w:tcW w:type="dxa" w:w="4980"/>
            <w:shd w:fill="FFFFFF"/>
            <w:tcMar>
              <w:top w:w="80" w:type="dxa"/>
              <w:start w:w="120" w:type="dxa"/>
              <w:bottom w:w="80" w:type="dxa"/>
              <w:end w:w="120" w:type="dxa"/>
            </w:tcMar>
          </w:tcPr>
          <w:p>
            <w:pPr>
              <w:jc w:val="left"/>
            </w:pPr>
            <w:r>
              <w:rPr>
                <w:rFonts w:ascii="Calibri" w:hAnsi="Calibri"/>
                <w:b w:val="0"/>
                <w:i w:val="0"/>
                <w:color w:val="000000"/>
                <w:sz w:val="18"/>
              </w:rPr>
              <w:t>Afficher un tableau simple : rôle, action principale et résultat attendu.</w:t>
            </w:r>
          </w:p>
        </w:tc>
      </w:tr>
      <w:tr>
        <w:tc>
          <w:tcPr>
            <w:tcW w:type="dxa" w:w="1200"/>
            <w:shd w:fill="F2F2F2"/>
            <w:tcMar>
              <w:top w:w="80" w:type="dxa"/>
              <w:start w:w="120" w:type="dxa"/>
              <w:bottom w:w="80" w:type="dxa"/>
              <w:end w:w="120" w:type="dxa"/>
            </w:tcMar>
          </w:tcPr>
          <w:p>
            <w:pPr>
              <w:jc w:val="center"/>
            </w:pPr>
            <w:r>
              <w:rPr>
                <w:rFonts w:ascii="Calibri" w:hAnsi="Calibri"/>
                <w:b/>
                <w:i w:val="0"/>
                <w:color w:val="000000"/>
                <w:sz w:val="18"/>
              </w:rPr>
              <w:t>33-37 min</w:t>
            </w:r>
          </w:p>
        </w:tc>
        <w:tc>
          <w:tcPr>
            <w:tcW w:type="dxa" w:w="3180"/>
            <w:shd w:fill="F2F2F2"/>
            <w:tcMar>
              <w:top w:w="80" w:type="dxa"/>
              <w:start w:w="120" w:type="dxa"/>
              <w:bottom w:w="80" w:type="dxa"/>
              <w:end w:w="120" w:type="dxa"/>
            </w:tcMar>
          </w:tcPr>
          <w:p>
            <w:pPr>
              <w:jc w:val="left"/>
            </w:pPr>
            <w:r>
              <w:rPr>
                <w:rFonts w:ascii="Calibri" w:hAnsi="Calibri"/>
                <w:b w:val="0"/>
                <w:i w:val="0"/>
                <w:color w:val="000000"/>
                <w:sz w:val="18"/>
              </w:rPr>
              <w:t>Principes fondamentaux</w:t>
            </w:r>
          </w:p>
        </w:tc>
        <w:tc>
          <w:tcPr>
            <w:tcW w:type="dxa" w:w="4980"/>
            <w:shd w:fill="F2F2F2"/>
            <w:tcMar>
              <w:top w:w="80" w:type="dxa"/>
              <w:start w:w="120" w:type="dxa"/>
              <w:bottom w:w="80" w:type="dxa"/>
              <w:end w:w="120" w:type="dxa"/>
            </w:tcMar>
          </w:tcPr>
          <w:p>
            <w:pPr>
              <w:jc w:val="left"/>
            </w:pPr>
            <w:r>
              <w:rPr>
                <w:rFonts w:ascii="Calibri" w:hAnsi="Calibri"/>
                <w:b w:val="0"/>
                <w:i w:val="0"/>
                <w:color w:val="000000"/>
                <w:sz w:val="18"/>
              </w:rPr>
              <w:t>Afficher : confidentialité, qualité, traçabilité et responsabilité.</w:t>
            </w:r>
          </w:p>
        </w:tc>
      </w:tr>
      <w:tr>
        <w:tc>
          <w:tcPr>
            <w:tcW w:type="dxa" w:w="1200"/>
            <w:shd w:fill="FFFFFF"/>
            <w:tcMar>
              <w:top w:w="80" w:type="dxa"/>
              <w:start w:w="120" w:type="dxa"/>
              <w:bottom w:w="80" w:type="dxa"/>
              <w:end w:w="120" w:type="dxa"/>
            </w:tcMar>
          </w:tcPr>
          <w:p>
            <w:pPr>
              <w:jc w:val="center"/>
            </w:pPr>
            <w:r>
              <w:rPr>
                <w:rFonts w:ascii="Calibri" w:hAnsi="Calibri"/>
                <w:b/>
                <w:i w:val="0"/>
                <w:color w:val="000000"/>
                <w:sz w:val="18"/>
              </w:rPr>
              <w:t>37-41 min</w:t>
            </w:r>
          </w:p>
        </w:tc>
        <w:tc>
          <w:tcPr>
            <w:tcW w:type="dxa" w:w="3180"/>
            <w:shd w:fill="FFFFFF"/>
            <w:tcMar>
              <w:top w:w="80" w:type="dxa"/>
              <w:start w:w="120" w:type="dxa"/>
              <w:bottom w:w="80" w:type="dxa"/>
              <w:end w:w="120" w:type="dxa"/>
            </w:tcMar>
          </w:tcPr>
          <w:p>
            <w:pPr>
              <w:jc w:val="left"/>
            </w:pPr>
            <w:r>
              <w:rPr>
                <w:rFonts w:ascii="Calibri" w:hAnsi="Calibri"/>
                <w:b w:val="0"/>
                <w:i w:val="0"/>
                <w:color w:val="000000"/>
                <w:sz w:val="18"/>
              </w:rPr>
              <w:t>Navigation générale</w:t>
            </w:r>
          </w:p>
        </w:tc>
        <w:tc>
          <w:tcPr>
            <w:tcW w:type="dxa" w:w="4980"/>
            <w:shd w:fill="FFFFFF"/>
            <w:tcMar>
              <w:top w:w="80" w:type="dxa"/>
              <w:start w:w="120" w:type="dxa"/>
              <w:bottom w:w="80" w:type="dxa"/>
              <w:end w:w="120" w:type="dxa"/>
            </w:tcMar>
          </w:tcPr>
          <w:p>
            <w:pPr>
              <w:jc w:val="left"/>
            </w:pPr>
            <w:r>
              <w:rPr>
                <w:rFonts w:ascii="Calibri" w:hAnsi="Calibri"/>
                <w:b w:val="0"/>
                <w:i w:val="0"/>
                <w:color w:val="000000"/>
                <w:sz w:val="18"/>
              </w:rPr>
              <w:t>Faire une courte démonstration en direct ou utiliser une capture anonymisée de l’écran principal.</w:t>
            </w:r>
          </w:p>
        </w:tc>
      </w:tr>
      <w:tr>
        <w:tc>
          <w:tcPr>
            <w:tcW w:type="dxa" w:w="1200"/>
            <w:shd w:fill="F2F2F2"/>
            <w:tcMar>
              <w:top w:w="80" w:type="dxa"/>
              <w:start w:w="120" w:type="dxa"/>
              <w:bottom w:w="80" w:type="dxa"/>
              <w:end w:w="120" w:type="dxa"/>
            </w:tcMar>
          </w:tcPr>
          <w:p>
            <w:pPr>
              <w:jc w:val="center"/>
            </w:pPr>
            <w:r>
              <w:rPr>
                <w:rFonts w:ascii="Calibri" w:hAnsi="Calibri"/>
                <w:b/>
                <w:i w:val="0"/>
                <w:color w:val="000000"/>
                <w:sz w:val="18"/>
              </w:rPr>
              <w:t>41-45 min</w:t>
            </w:r>
          </w:p>
        </w:tc>
        <w:tc>
          <w:tcPr>
            <w:tcW w:type="dxa" w:w="3180"/>
            <w:shd w:fill="F2F2F2"/>
            <w:tcMar>
              <w:top w:w="80" w:type="dxa"/>
              <w:start w:w="120" w:type="dxa"/>
              <w:bottom w:w="80" w:type="dxa"/>
              <w:end w:w="120" w:type="dxa"/>
            </w:tcMar>
          </w:tcPr>
          <w:p>
            <w:pPr>
              <w:jc w:val="left"/>
            </w:pPr>
            <w:r>
              <w:rPr>
                <w:rFonts w:ascii="Calibri" w:hAnsi="Calibri"/>
                <w:b w:val="0"/>
                <w:i w:val="0"/>
                <w:color w:val="000000"/>
                <w:sz w:val="18"/>
              </w:rPr>
              <w:t>Mise en pratique</w:t>
            </w:r>
          </w:p>
        </w:tc>
        <w:tc>
          <w:tcPr>
            <w:tcW w:type="dxa" w:w="4980"/>
            <w:shd w:fill="F2F2F2"/>
            <w:tcMar>
              <w:top w:w="80" w:type="dxa"/>
              <w:start w:w="120" w:type="dxa"/>
              <w:bottom w:w="80" w:type="dxa"/>
              <w:end w:w="120" w:type="dxa"/>
            </w:tcMar>
          </w:tcPr>
          <w:p>
            <w:pPr>
              <w:jc w:val="left"/>
            </w:pPr>
            <w:r>
              <w:rPr>
                <w:rFonts w:ascii="Calibri" w:hAnsi="Calibri"/>
                <w:b w:val="0"/>
                <w:i w:val="0"/>
                <w:color w:val="000000"/>
                <w:sz w:val="18"/>
              </w:rPr>
              <w:t>Afficher la question du cas pratique et noter les réponses principales au tableau.</w:t>
            </w:r>
          </w:p>
        </w:tc>
      </w:tr>
    </w:tbl>
    <w:p>
      <w:r>
        <w:br w:type="page"/>
      </w:r>
    </w:p>
    <w:p>
      <w:pPr>
        <w:pStyle w:val="Heading1"/>
      </w:pPr>
      <w:r>
        <w:t>Messages à développer pendant la présentation</w:t>
      </w:r>
    </w:p>
    <w:p>
      <w:pPr>
        <w:pStyle w:val="Heading2"/>
      </w:pPr>
      <w:r>
        <w:t>1. Ouverture et objectifs (0-3 min)</w:t>
      </w:r>
    </w:p>
    <w:p>
      <w:pPr>
        <w:spacing w:after="80"/>
      </w:pPr>
      <w:r>
        <w:rPr>
          <w:rFonts w:ascii="Calibri" w:hAnsi="Calibri"/>
          <w:b/>
          <w:i w:val="0"/>
          <w:color w:val="000000"/>
          <w:sz w:val="21"/>
        </w:rPr>
        <w:t xml:space="preserve">À dire : </w:t>
      </w:r>
      <w:r>
        <w:rPr>
          <w:rFonts w:ascii="Calibri" w:hAnsi="Calibri"/>
          <w:b w:val="0"/>
          <w:i w:val="0"/>
          <w:color w:val="000000"/>
          <w:sz w:val="21"/>
        </w:rPr>
        <w:t>Souhaitez la bienvenue aux participants. Expliquez que cette première séquence donne une vision commune du SNGSC / HAUQE Certif avant d’aborder les modules pratiques. Annoncez les deux résultats attendus : comprendre la finalité du système et situer son rôle dans le parcours national des certifications.</w:t>
      </w:r>
    </w:p>
    <w:p>
      <w:pPr>
        <w:spacing w:after="80"/>
      </w:pPr>
      <w:r>
        <w:rPr>
          <w:rFonts w:ascii="Calibri" w:hAnsi="Calibri"/>
          <w:b/>
          <w:i w:val="0"/>
          <w:color w:val="000000"/>
          <w:sz w:val="21"/>
        </w:rPr>
        <w:t xml:space="preserve">Support : </w:t>
      </w:r>
      <w:r>
        <w:rPr>
          <w:rFonts w:ascii="Calibri" w:hAnsi="Calibri"/>
          <w:b w:val="0"/>
          <w:i w:val="0"/>
          <w:color w:val="000000"/>
          <w:sz w:val="21"/>
        </w:rPr>
        <w:t>Afficher le titre du module et les deux objectifs d’apprentissage.</w:t>
      </w:r>
    </w:p>
    <w:p>
      <w:pPr>
        <w:spacing w:after="80"/>
      </w:pPr>
      <w:r>
        <w:rPr>
          <w:rFonts w:ascii="Calibri" w:hAnsi="Calibri"/>
          <w:b/>
          <w:i w:val="0"/>
          <w:color w:val="000000"/>
          <w:sz w:val="21"/>
        </w:rPr>
        <w:t xml:space="preserve">Transition : </w:t>
      </w:r>
      <w:r>
        <w:rPr>
          <w:rFonts w:ascii="Calibri" w:hAnsi="Calibri"/>
          <w:b w:val="0"/>
          <w:i w:val="0"/>
          <w:color w:val="000000"/>
          <w:sz w:val="21"/>
        </w:rPr>
        <w:t>Avant de découvrir les écrans, il faut comprendre le besoin auquel le système répond.</w:t>
      </w:r>
    </w:p>
    <w:p>
      <w:pPr>
        <w:pStyle w:val="Heading2"/>
      </w:pPr>
      <w:r>
        <w:t>2. Pourquoi le SNGSC ? (3-8 min)</w:t>
      </w:r>
    </w:p>
    <w:p>
      <w:pPr>
        <w:spacing w:after="80"/>
      </w:pPr>
      <w:r>
        <w:rPr>
          <w:rFonts w:ascii="Calibri" w:hAnsi="Calibri"/>
          <w:b/>
          <w:i w:val="0"/>
          <w:color w:val="000000"/>
          <w:sz w:val="21"/>
        </w:rPr>
        <w:t xml:space="preserve">À dire : </w:t>
      </w:r>
      <w:r>
        <w:rPr>
          <w:rFonts w:ascii="Calibri" w:hAnsi="Calibri"/>
          <w:b w:val="0"/>
          <w:i w:val="0"/>
          <w:color w:val="000000"/>
          <w:sz w:val="21"/>
        </w:rPr>
        <w:t>Le SNGSC permet de centraliser les informations sur les entreprises, les organismes certificateurs, les certificats, les contrôles et les échéances. Il évite la dispersion des dossiers, facilite la recherche des informations fiables et permet un suivi national cohérent.</w:t>
      </w:r>
    </w:p>
    <w:p>
      <w:pPr>
        <w:spacing w:after="80"/>
      </w:pPr>
      <w:r>
        <w:rPr>
          <w:rFonts w:ascii="Calibri" w:hAnsi="Calibri"/>
          <w:b/>
          <w:i w:val="0"/>
          <w:color w:val="000000"/>
          <w:sz w:val="21"/>
        </w:rPr>
        <w:t xml:space="preserve">Support : </w:t>
      </w:r>
      <w:r>
        <w:rPr>
          <w:rFonts w:ascii="Calibri" w:hAnsi="Calibri"/>
          <w:b w:val="0"/>
          <w:i w:val="0"/>
          <w:color w:val="000000"/>
          <w:sz w:val="21"/>
        </w:rPr>
        <w:t>Illustrer par un dossier qui serait difficile à suivre uniquement avec des fichiers papier ou des tableaux séparés.</w:t>
      </w:r>
    </w:p>
    <w:p>
      <w:pPr>
        <w:spacing w:after="80"/>
      </w:pPr>
      <w:r>
        <w:rPr>
          <w:rFonts w:ascii="Calibri" w:hAnsi="Calibri"/>
          <w:b/>
          <w:i w:val="0"/>
          <w:color w:val="000000"/>
          <w:sz w:val="21"/>
        </w:rPr>
        <w:t xml:space="preserve">Transition : </w:t>
      </w:r>
      <w:r>
        <w:rPr>
          <w:rFonts w:ascii="Calibri" w:hAnsi="Calibri"/>
          <w:b w:val="0"/>
          <w:i w:val="0"/>
          <w:color w:val="000000"/>
          <w:sz w:val="21"/>
        </w:rPr>
        <w:t>Ce système soutient directement les missions de la HAUQE.</w:t>
      </w:r>
    </w:p>
    <w:p>
      <w:pPr>
        <w:pStyle w:val="Heading2"/>
      </w:pPr>
      <w:r>
        <w:t>3. Rôle de la HAUQE (8-13 min)</w:t>
      </w:r>
    </w:p>
    <w:p>
      <w:pPr>
        <w:spacing w:after="80"/>
      </w:pPr>
      <w:r>
        <w:rPr>
          <w:rFonts w:ascii="Calibri" w:hAnsi="Calibri"/>
          <w:b/>
          <w:i w:val="0"/>
          <w:color w:val="000000"/>
          <w:sz w:val="21"/>
        </w:rPr>
        <w:t xml:space="preserve">À dire : </w:t>
      </w:r>
      <w:r>
        <w:rPr>
          <w:rFonts w:ascii="Calibri" w:hAnsi="Calibri"/>
          <w:b w:val="0"/>
          <w:i w:val="0"/>
          <w:color w:val="000000"/>
          <w:sz w:val="21"/>
        </w:rPr>
        <w:t>Présentez la HAUQE comme l’institution qui organise le suivi de la qualité, de la conformité et de la fiabilité des certifications. Le système l’aide à disposer d’informations traçables, à mieux planifier les actions et à anticiper les risques ou expirations.</w:t>
      </w:r>
    </w:p>
    <w:p>
      <w:pPr>
        <w:spacing w:after="80"/>
      </w:pPr>
      <w:r>
        <w:rPr>
          <w:rFonts w:ascii="Calibri" w:hAnsi="Calibri"/>
          <w:b/>
          <w:i w:val="0"/>
          <w:color w:val="000000"/>
          <w:sz w:val="21"/>
        </w:rPr>
        <w:t xml:space="preserve">Support : </w:t>
      </w:r>
      <w:r>
        <w:rPr>
          <w:rFonts w:ascii="Calibri" w:hAnsi="Calibri"/>
          <w:b w:val="0"/>
          <w:i w:val="0"/>
          <w:color w:val="000000"/>
          <w:sz w:val="21"/>
        </w:rPr>
        <w:t>Afficher les mots-clés : suivi, contrôle, décision, veille et qualité des données.</w:t>
      </w:r>
    </w:p>
    <w:p>
      <w:pPr>
        <w:spacing w:after="80"/>
      </w:pPr>
      <w:r>
        <w:rPr>
          <w:rFonts w:ascii="Calibri" w:hAnsi="Calibri"/>
          <w:b/>
          <w:i w:val="0"/>
          <w:color w:val="000000"/>
          <w:sz w:val="21"/>
        </w:rPr>
        <w:t xml:space="preserve">Transition : </w:t>
      </w:r>
      <w:r>
        <w:rPr>
          <w:rFonts w:ascii="Calibri" w:hAnsi="Calibri"/>
          <w:b w:val="0"/>
          <w:i w:val="0"/>
          <w:color w:val="000000"/>
          <w:sz w:val="21"/>
        </w:rPr>
        <w:t>Voyons maintenant les principales fonctions mises à disposition dans l’application.</w:t>
      </w:r>
    </w:p>
    <w:p>
      <w:pPr>
        <w:pStyle w:val="Heading2"/>
      </w:pPr>
      <w:r>
        <w:t>4. Ce que permet le système (13-18 min)</w:t>
      </w:r>
    </w:p>
    <w:p>
      <w:pPr>
        <w:spacing w:after="80"/>
      </w:pPr>
      <w:r>
        <w:rPr>
          <w:rFonts w:ascii="Calibri" w:hAnsi="Calibri"/>
          <w:b/>
          <w:i w:val="0"/>
          <w:color w:val="000000"/>
          <w:sz w:val="21"/>
        </w:rPr>
        <w:t xml:space="preserve">À dire : </w:t>
      </w:r>
      <w:r>
        <w:rPr>
          <w:rFonts w:ascii="Calibri" w:hAnsi="Calibri"/>
          <w:b w:val="0"/>
          <w:i w:val="0"/>
          <w:color w:val="000000"/>
          <w:sz w:val="21"/>
        </w:rPr>
        <w:t>Le SNGSC regroupe les modules nécessaires au travail quotidien : gestion des entreprises, organismes certificateurs, certifications, collecte, vérification, contrôle, validation, veille, tableaux de bord, rapports et administration. Chaque utilisateur ne voit et n’exécute que les actions autorisées par son rôle.</w:t>
      </w:r>
    </w:p>
    <w:p>
      <w:pPr>
        <w:spacing w:after="80"/>
      </w:pPr>
      <w:r>
        <w:rPr>
          <w:rFonts w:ascii="Calibri" w:hAnsi="Calibri"/>
          <w:b/>
          <w:i w:val="0"/>
          <w:color w:val="000000"/>
          <w:sz w:val="21"/>
        </w:rPr>
        <w:t xml:space="preserve">Support : </w:t>
      </w:r>
      <w:r>
        <w:rPr>
          <w:rFonts w:ascii="Calibri" w:hAnsi="Calibri"/>
          <w:b w:val="0"/>
          <w:i w:val="0"/>
          <w:color w:val="000000"/>
          <w:sz w:val="21"/>
        </w:rPr>
        <w:t>Afficher une vue simple de la barre latérale ou une liste des principaux modules.</w:t>
      </w:r>
    </w:p>
    <w:p>
      <w:pPr>
        <w:spacing w:after="80"/>
      </w:pPr>
      <w:r>
        <w:rPr>
          <w:rFonts w:ascii="Calibri" w:hAnsi="Calibri"/>
          <w:b/>
          <w:i w:val="0"/>
          <w:color w:val="000000"/>
          <w:sz w:val="21"/>
        </w:rPr>
        <w:t xml:space="preserve">Transition : </w:t>
      </w:r>
      <w:r>
        <w:rPr>
          <w:rFonts w:ascii="Calibri" w:hAnsi="Calibri"/>
          <w:b w:val="0"/>
          <w:i w:val="0"/>
          <w:color w:val="000000"/>
          <w:sz w:val="21"/>
        </w:rPr>
        <w:t>Ces fonctions ne sont pas isolées : elles se suivent dans un parcours métier unique.</w:t>
      </w:r>
    </w:p>
    <w:p/>
    <w:p>
      <w:pPr>
        <w:pStyle w:val="Heading2"/>
      </w:pPr>
      <w:r>
        <w:t>5. Parcours d’une certification (18-27 min)</w:t>
      </w:r>
    </w:p>
    <w:p>
      <w:pPr>
        <w:spacing w:after="80"/>
      </w:pPr>
      <w:r>
        <w:rPr>
          <w:rFonts w:ascii="Calibri" w:hAnsi="Calibri"/>
          <w:b/>
          <w:i w:val="0"/>
          <w:color w:val="000000"/>
          <w:sz w:val="21"/>
        </w:rPr>
        <w:t xml:space="preserve">À dire : </w:t>
      </w:r>
      <w:r>
        <w:rPr>
          <w:rFonts w:ascii="Calibri" w:hAnsi="Calibri"/>
          <w:b w:val="0"/>
          <w:i w:val="0"/>
          <w:color w:val="000000"/>
          <w:sz w:val="21"/>
        </w:rPr>
        <w:t>Présentez lentement le cycle : collecte des informations, vérification documentaire, contrôle FUCCS, validation N1 puis N2, intégration dans la BNEC, lecture des résultats INFC et SNCC, puis suivi des échéances et activités de veille. Insistez sur le fait qu’une validation ne remplace pas les étapes précédentes : chaque décision doit être justifiée et traçable.</w:t>
      </w:r>
    </w:p>
    <w:p>
      <w:pPr>
        <w:spacing w:after="80"/>
      </w:pPr>
      <w:r>
        <w:rPr>
          <w:rFonts w:ascii="Calibri" w:hAnsi="Calibri"/>
          <w:b/>
          <w:i w:val="0"/>
          <w:color w:val="000000"/>
          <w:sz w:val="21"/>
        </w:rPr>
        <w:t xml:space="preserve">Support : </w:t>
      </w:r>
      <w:r>
        <w:rPr>
          <w:rFonts w:ascii="Calibri" w:hAnsi="Calibri"/>
          <w:b w:val="0"/>
          <w:i w:val="0"/>
          <w:color w:val="000000"/>
          <w:sz w:val="21"/>
        </w:rPr>
        <w:t>Afficher une frise : Collecte → Vérification → Contrôle → Validation → BNEC → INFC/SNCC → Veille.</w:t>
      </w:r>
    </w:p>
    <w:p>
      <w:pPr>
        <w:spacing w:after="80"/>
      </w:pPr>
      <w:r>
        <w:rPr>
          <w:rFonts w:ascii="Calibri" w:hAnsi="Calibri"/>
          <w:b/>
          <w:i w:val="0"/>
          <w:color w:val="000000"/>
          <w:sz w:val="21"/>
        </w:rPr>
        <w:t xml:space="preserve">Transition : </w:t>
      </w:r>
      <w:r>
        <w:rPr>
          <w:rFonts w:ascii="Calibri" w:hAnsi="Calibri"/>
          <w:b w:val="0"/>
          <w:i w:val="0"/>
          <w:color w:val="000000"/>
          <w:sz w:val="21"/>
        </w:rPr>
        <w:t>Pour que ce parcours fonctionne, chaque acteur doit connaître précisément son intervention.</w:t>
      </w:r>
    </w:p>
    <w:p>
      <w:pPr>
        <w:pStyle w:val="Heading2"/>
      </w:pPr>
      <w:r>
        <w:t>6. Acteurs et responsabilités (27-33 min)</w:t>
      </w:r>
    </w:p>
    <w:p>
      <w:pPr>
        <w:spacing w:after="80"/>
      </w:pPr>
      <w:r>
        <w:rPr>
          <w:rFonts w:ascii="Calibri" w:hAnsi="Calibri"/>
          <w:b/>
          <w:i w:val="0"/>
          <w:color w:val="000000"/>
          <w:sz w:val="21"/>
        </w:rPr>
        <w:t xml:space="preserve">À dire : </w:t>
      </w:r>
      <w:r>
        <w:rPr>
          <w:rFonts w:ascii="Calibri" w:hAnsi="Calibri"/>
          <w:b w:val="0"/>
          <w:i w:val="0"/>
          <w:color w:val="000000"/>
          <w:sz w:val="21"/>
        </w:rPr>
        <w:t>Présentez les principaux profils : agent enquêteur, agent vérificateur, contrôleur, validateur N1/N2, point focal BNEC, cellule de veille, administrateur et décideur. Rappelez qu’un utilisateur ne doit pas effectuer une action qui ne relève pas de son rôle, même s’il connaît la procédure.</w:t>
      </w:r>
    </w:p>
    <w:p>
      <w:pPr>
        <w:spacing w:after="80"/>
      </w:pPr>
      <w:r>
        <w:rPr>
          <w:rFonts w:ascii="Calibri" w:hAnsi="Calibri"/>
          <w:b/>
          <w:i w:val="0"/>
          <w:color w:val="000000"/>
          <w:sz w:val="21"/>
        </w:rPr>
        <w:t xml:space="preserve">Support : </w:t>
      </w:r>
      <w:r>
        <w:rPr>
          <w:rFonts w:ascii="Calibri" w:hAnsi="Calibri"/>
          <w:b w:val="0"/>
          <w:i w:val="0"/>
          <w:color w:val="000000"/>
          <w:sz w:val="21"/>
        </w:rPr>
        <w:t>Afficher un tableau simple : rôle, action principale et résultat attendu.</w:t>
      </w:r>
    </w:p>
    <w:p>
      <w:pPr>
        <w:spacing w:after="80"/>
      </w:pPr>
      <w:r>
        <w:rPr>
          <w:rFonts w:ascii="Calibri" w:hAnsi="Calibri"/>
          <w:b/>
          <w:i w:val="0"/>
          <w:color w:val="000000"/>
          <w:sz w:val="21"/>
        </w:rPr>
        <w:t xml:space="preserve">Transition : </w:t>
      </w:r>
      <w:r>
        <w:rPr>
          <w:rFonts w:ascii="Calibri" w:hAnsi="Calibri"/>
          <w:b w:val="0"/>
          <w:i w:val="0"/>
          <w:color w:val="000000"/>
          <w:sz w:val="21"/>
        </w:rPr>
        <w:t>Cette séparation des responsabilités protège la qualité et la crédibilité des informations.</w:t>
      </w:r>
    </w:p>
    <w:p>
      <w:pPr>
        <w:pStyle w:val="Heading2"/>
      </w:pPr>
      <w:r>
        <w:t>7. Principes fondamentaux (33-37 min)</w:t>
      </w:r>
    </w:p>
    <w:p>
      <w:pPr>
        <w:spacing w:after="80"/>
      </w:pPr>
      <w:r>
        <w:rPr>
          <w:rFonts w:ascii="Calibri" w:hAnsi="Calibri"/>
          <w:b/>
          <w:i w:val="0"/>
          <w:color w:val="000000"/>
          <w:sz w:val="21"/>
        </w:rPr>
        <w:t xml:space="preserve">À dire : </w:t>
      </w:r>
      <w:r>
        <w:rPr>
          <w:rFonts w:ascii="Calibri" w:hAnsi="Calibri"/>
          <w:b w:val="0"/>
          <w:i w:val="0"/>
          <w:color w:val="000000"/>
          <w:sz w:val="21"/>
        </w:rPr>
        <w:t>Rappelez quatre règles : protéger les données, saisir des informations exactes, conserver les preuves et respecter les droits d’accès. Chaque opération importante est tracée dans le système ; il faut donc éviter les modifications non justifiées et ne jamais partager ses identifiants.</w:t>
      </w:r>
    </w:p>
    <w:p>
      <w:pPr>
        <w:spacing w:after="80"/>
      </w:pPr>
      <w:r>
        <w:rPr>
          <w:rFonts w:ascii="Calibri" w:hAnsi="Calibri"/>
          <w:b/>
          <w:i w:val="0"/>
          <w:color w:val="000000"/>
          <w:sz w:val="21"/>
        </w:rPr>
        <w:t xml:space="preserve">Support : </w:t>
      </w:r>
      <w:r>
        <w:rPr>
          <w:rFonts w:ascii="Calibri" w:hAnsi="Calibri"/>
          <w:b w:val="0"/>
          <w:i w:val="0"/>
          <w:color w:val="000000"/>
          <w:sz w:val="21"/>
        </w:rPr>
        <w:t>Afficher : confidentialité, qualité, traçabilité et responsabilité.</w:t>
      </w:r>
    </w:p>
    <w:p>
      <w:pPr>
        <w:spacing w:after="80"/>
      </w:pPr>
      <w:r>
        <w:rPr>
          <w:rFonts w:ascii="Calibri" w:hAnsi="Calibri"/>
          <w:b/>
          <w:i w:val="0"/>
          <w:color w:val="000000"/>
          <w:sz w:val="21"/>
        </w:rPr>
        <w:t xml:space="preserve">Transition : </w:t>
      </w:r>
      <w:r>
        <w:rPr>
          <w:rFonts w:ascii="Calibri" w:hAnsi="Calibri"/>
          <w:b w:val="0"/>
          <w:i w:val="0"/>
          <w:color w:val="000000"/>
          <w:sz w:val="21"/>
        </w:rPr>
        <w:t>Ces principes s’appliquent dès la connexion et la navigation dans l’outil.</w:t>
      </w:r>
    </w:p>
    <w:p/>
    <w:p>
      <w:pPr>
        <w:pStyle w:val="Heading2"/>
      </w:pPr>
      <w:r>
        <w:t>8. Navigation générale (37-41 min)</w:t>
      </w:r>
    </w:p>
    <w:p>
      <w:pPr>
        <w:spacing w:after="80"/>
      </w:pPr>
      <w:r>
        <w:rPr>
          <w:rFonts w:ascii="Calibri" w:hAnsi="Calibri"/>
          <w:b/>
          <w:i w:val="0"/>
          <w:color w:val="000000"/>
          <w:sz w:val="21"/>
        </w:rPr>
        <w:t xml:space="preserve">À dire : </w:t>
      </w:r>
      <w:r>
        <w:rPr>
          <w:rFonts w:ascii="Calibri" w:hAnsi="Calibri"/>
          <w:b w:val="0"/>
          <w:i w:val="0"/>
          <w:color w:val="000000"/>
          <w:sz w:val="21"/>
        </w:rPr>
        <w:t>Montrez le tableau de bord, la barre latérale, le profil, les alertes et le principe de recherche ou de filtrage. Ne cherchez pas à détailler chaque écran : l’objectif est seulement que les participants sachent où se trouvent les principales fonctionnalités et comment revenir au tableau de bord.</w:t>
      </w:r>
    </w:p>
    <w:p>
      <w:pPr>
        <w:spacing w:after="80"/>
      </w:pPr>
      <w:r>
        <w:rPr>
          <w:rFonts w:ascii="Calibri" w:hAnsi="Calibri"/>
          <w:b/>
          <w:i w:val="0"/>
          <w:color w:val="000000"/>
          <w:sz w:val="21"/>
        </w:rPr>
        <w:t xml:space="preserve">Support : </w:t>
      </w:r>
      <w:r>
        <w:rPr>
          <w:rFonts w:ascii="Calibri" w:hAnsi="Calibri"/>
          <w:b w:val="0"/>
          <w:i w:val="0"/>
          <w:color w:val="000000"/>
          <w:sz w:val="21"/>
        </w:rPr>
        <w:t>Faire une courte démonstration en direct ou utiliser une capture anonymisée de l’écran principal.</w:t>
      </w:r>
    </w:p>
    <w:p>
      <w:pPr>
        <w:spacing w:after="80"/>
      </w:pPr>
      <w:r>
        <w:rPr>
          <w:rFonts w:ascii="Calibri" w:hAnsi="Calibri"/>
          <w:b/>
          <w:i w:val="0"/>
          <w:color w:val="000000"/>
          <w:sz w:val="21"/>
        </w:rPr>
        <w:t xml:space="preserve">Transition : </w:t>
      </w:r>
      <w:r>
        <w:rPr>
          <w:rFonts w:ascii="Calibri" w:hAnsi="Calibri"/>
          <w:b w:val="0"/>
          <w:i w:val="0"/>
          <w:color w:val="000000"/>
          <w:sz w:val="21"/>
        </w:rPr>
        <w:t>Nous allons vérifier ensemble que le parcours général a été compris.</w:t>
      </w:r>
    </w:p>
    <w:p>
      <w:pPr>
        <w:pStyle w:val="Heading2"/>
      </w:pPr>
      <w:r>
        <w:t>9. Mise en pratique (41-45 min)</w:t>
      </w:r>
    </w:p>
    <w:p>
      <w:pPr>
        <w:spacing w:after="80"/>
      </w:pPr>
      <w:r>
        <w:rPr>
          <w:rFonts w:ascii="Calibri" w:hAnsi="Calibri"/>
          <w:b/>
          <w:i w:val="0"/>
          <w:color w:val="000000"/>
          <w:sz w:val="21"/>
        </w:rPr>
        <w:t xml:space="preserve">À dire : </w:t>
      </w:r>
      <w:r>
        <w:rPr>
          <w:rFonts w:ascii="Calibri" w:hAnsi="Calibri"/>
          <w:b w:val="0"/>
          <w:i w:val="0"/>
          <w:color w:val="000000"/>
          <w:sz w:val="21"/>
        </w:rPr>
        <w:t>Présentez un cas simple : une entreprise transmet un certificat. Demandez aux participants d’identifier les étapes que suivra le dossier et les acteurs concernés. Recueillez les réponses, puis corrigez en rappelant l’ordre : collecte, vérification, contrôle, validation, BNEC, indicateurs et veille.</w:t>
      </w:r>
    </w:p>
    <w:p>
      <w:pPr>
        <w:spacing w:after="80"/>
      </w:pPr>
      <w:r>
        <w:rPr>
          <w:rFonts w:ascii="Calibri" w:hAnsi="Calibri"/>
          <w:b/>
          <w:i w:val="0"/>
          <w:color w:val="000000"/>
          <w:sz w:val="21"/>
        </w:rPr>
        <w:t xml:space="preserve">Support : </w:t>
      </w:r>
      <w:r>
        <w:rPr>
          <w:rFonts w:ascii="Calibri" w:hAnsi="Calibri"/>
          <w:b w:val="0"/>
          <w:i w:val="0"/>
          <w:color w:val="000000"/>
          <w:sz w:val="21"/>
        </w:rPr>
        <w:t>Afficher la question du cas pratique et noter les réponses principales au tableau.</w:t>
      </w:r>
    </w:p>
    <w:p>
      <w:pPr>
        <w:spacing w:after="80"/>
      </w:pPr>
      <w:r>
        <w:rPr>
          <w:rFonts w:ascii="Calibri" w:hAnsi="Calibri"/>
          <w:b/>
          <w:i w:val="0"/>
          <w:color w:val="000000"/>
          <w:sz w:val="21"/>
        </w:rPr>
        <w:t xml:space="preserve">Transition : </w:t>
      </w:r>
      <w:r>
        <w:rPr>
          <w:rFonts w:ascii="Calibri" w:hAnsi="Calibri"/>
          <w:b w:val="0"/>
          <w:i w:val="0"/>
          <w:color w:val="000000"/>
          <w:sz w:val="21"/>
        </w:rPr>
        <w:t>Invitez maintenant les participants à poser leurs questions pendant quinze minutes.</w:t>
      </w:r>
    </w:p>
    <w:p>
      <w:r>
        <w:br w:type="page"/>
      </w:r>
    </w:p>
    <w:p>
      <w:pPr>
        <w:pStyle w:val="Heading1"/>
      </w:pPr>
      <w:r>
        <w:t>Questions-réponses - 15 minutes</w:t>
      </w:r>
    </w:p>
    <w:p>
      <w:r>
        <w:t>Invitez les participants à poser leurs questions. Si les questions sont très techniques ou portent sur un écran précis, notez-les et indiquez qu’elles seront approfondies dans le module correspondant.</w:t>
      </w:r>
    </w:p>
    <w:p>
      <w:pPr>
        <w:spacing w:after="80"/>
      </w:pPr>
      <w:r>
        <w:rPr>
          <w:rFonts w:ascii="Calibri" w:hAnsi="Calibri"/>
          <w:b/>
          <w:i w:val="0"/>
          <w:color w:val="000000"/>
          <w:sz w:val="21"/>
        </w:rPr>
        <w:t xml:space="preserve">Question de clôture : </w:t>
      </w:r>
      <w:r>
        <w:rPr>
          <w:rFonts w:ascii="Calibri" w:hAnsi="Calibri"/>
          <w:b w:val="0"/>
          <w:i w:val="0"/>
          <w:color w:val="000000"/>
          <w:sz w:val="21"/>
        </w:rPr>
        <w:t>Une entreprise transmet un certificat. Quelles sont les étapes suivies avant son intégration dans la BNEC, et quels acteurs interviennent ?</w:t>
      </w:r>
    </w:p>
    <w:p>
      <w:pPr>
        <w:spacing w:after="80"/>
      </w:pPr>
      <w:r>
        <w:rPr>
          <w:rFonts w:ascii="Calibri" w:hAnsi="Calibri"/>
          <w:b/>
          <w:i w:val="0"/>
          <w:color w:val="000000"/>
          <w:sz w:val="21"/>
        </w:rPr>
        <w:t xml:space="preserve">Réponse attendue : </w:t>
      </w:r>
      <w:r>
        <w:rPr>
          <w:rFonts w:ascii="Calibri" w:hAnsi="Calibri"/>
          <w:b w:val="0"/>
          <w:i w:val="0"/>
          <w:color w:val="000000"/>
          <w:sz w:val="21"/>
        </w:rPr>
        <w:t>Collecte, vérification documentaire, contrôle FUCCS, validation N1/N2, intégration BNEC, indicateurs INFC/SNCC, puis veille et suivi des échéances.</w:t>
      </w:r>
    </w:p>
    <w:p>
      <w:pPr>
        <w:pStyle w:val="Heading1"/>
      </w:pPr>
      <w:r>
        <w:t>Rappel au formateur</w:t>
      </w:r>
    </w:p>
    <w:p>
      <w:pPr>
        <w:pStyle w:val="ListBullet"/>
        <w:spacing w:after="60" w:line="280" w:lineRule="auto"/>
      </w:pPr>
      <w:r>
        <w:rPr>
          <w:rFonts w:ascii="Calibri" w:hAnsi="Calibri"/>
          <w:b w:val="0"/>
          <w:i w:val="0"/>
          <w:color w:val="000000"/>
          <w:sz w:val="21"/>
        </w:rPr>
        <w:t>Rester sur une vision générale : les modules suivants détailleront les procédures.</w:t>
      </w:r>
    </w:p>
    <w:p>
      <w:pPr>
        <w:pStyle w:val="ListBullet"/>
        <w:spacing w:after="60" w:line="280" w:lineRule="auto"/>
      </w:pPr>
      <w:r>
        <w:rPr>
          <w:rFonts w:ascii="Calibri" w:hAnsi="Calibri"/>
          <w:b w:val="0"/>
          <w:i w:val="0"/>
          <w:color w:val="000000"/>
          <w:sz w:val="21"/>
        </w:rPr>
        <w:t>Éviter de présenter des données réelles ou des informations personnelles à l’écran.</w:t>
      </w:r>
    </w:p>
    <w:p>
      <w:pPr>
        <w:pStyle w:val="ListBullet"/>
        <w:spacing w:after="60" w:line="280" w:lineRule="auto"/>
      </w:pPr>
      <w:r>
        <w:rPr>
          <w:rFonts w:ascii="Calibri" w:hAnsi="Calibri"/>
          <w:b w:val="0"/>
          <w:i w:val="0"/>
          <w:color w:val="000000"/>
          <w:sz w:val="21"/>
        </w:rPr>
        <w:t>Respecter le temps : 45 minutes de contenu, puis 15 minutes réservées aux échanges.</w:t>
      </w:r>
    </w:p>
    <w:p>
      <w:pPr>
        <w:pStyle w:val="ListBullet"/>
        <w:spacing w:after="60" w:line="280" w:lineRule="auto"/>
      </w:pPr>
      <w:r>
        <w:rPr>
          <w:rFonts w:ascii="Calibri" w:hAnsi="Calibri"/>
          <w:b w:val="0"/>
          <w:i w:val="0"/>
          <w:color w:val="000000"/>
          <w:sz w:val="21"/>
        </w:rPr>
        <w:t>Conclure en rappelant que chaque utilisateur agit selon son rôle et ses autorisations.</w:t>
      </w:r>
    </w:p>
    <w:sectPr w:rsidR="00FC693F" w:rsidRPr="0006063C" w:rsidSect="00034616">
      <w:headerReference w:type="default" r:id="rId9"/>
      <w:footerReference w:type="default" r:id="rId10"/>
      <w:pgSz w:w="11906" w:h="16838"/>
      <w:pgMar w:top="1191" w:right="1247" w:bottom="1134" w:left="1247"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000000"/>
        <w:sz w:val="17"/>
      </w:rPr>
      <w:t>Module 1 - Présentation générale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000000"/>
        <w:sz w:val="17"/>
      </w:rPr>
      <w:t>SNGSC / HAUQE Certif - Fiche de préparation du formateur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de préparation - Module 1 SNGSC / HAUQE Certif</dc:title>
  <dc:subject>Support bref de préparation du formateur</dc:subject>
  <dc:creator>HAUQE</dc:creator>
  <cp:keywords/>
  <dc:description>generated by python-docx</dc:description>
  <cp:lastModifiedBy/>
  <cp:revision>1</cp:revision>
  <dcterms:created xsi:type="dcterms:W3CDTF">2013-12-23T23:15:00Z</dcterms:created>
  <dcterms:modified xsi:type="dcterms:W3CDTF">2013-12-23T23:15:00Z</dcterms:modified>
  <cp:category/>
</cp:coreProperties>
</file>