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240"/>
        <w:jc w:val="center"/>
      </w:pPr>
      <w:r>
        <w:rPr>
          <w:rFonts w:ascii="Calibri" w:hAnsi="Calibri"/>
          <w:b/>
          <w:color w:val="087659"/>
          <w:sz w:val="22"/>
        </w:rPr>
        <w:t>HAUTE AUTORITÉ DE LA QUALITÉ ET DE L’ENVIRONNEMENT</w:t>
      </w:r>
    </w:p>
    <w:p>
      <w:pPr>
        <w:pStyle w:val="Title"/>
        <w:jc w:val="center"/>
      </w:pPr>
      <w:r>
        <w:t>Proposition de modules de formation du personnel</w:t>
      </w:r>
    </w:p>
    <w:p>
      <w:pPr>
        <w:pStyle w:val="Subtitle"/>
        <w:jc w:val="center"/>
      </w:pPr>
      <w:r>
        <w:t>SNGSC / HAUQE Certif</w:t>
      </w:r>
    </w:p>
    <w:p>
      <w:pPr>
        <w:spacing w:after="560"/>
        <w:jc w:val="center"/>
      </w:pPr>
      <w:r>
        <w:rPr>
          <w:rFonts w:ascii="Calibri" w:hAnsi="Calibri"/>
          <w:i/>
          <w:color w:val="60736C"/>
          <w:sz w:val="24"/>
        </w:rPr>
        <w:t>Programme opérationnel de prise en main, d’exploitation et d’administration</w:t>
      </w:r>
    </w:p>
    <w:tbl>
      <w:tblPr>
        <w:tblW w:type="dxa" w:w="9360"/>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vAlign w:val="center"/>
          </w:tcPr>
          <w:p>
            <w:pPr>
              <w:spacing w:after="0"/>
              <w:jc w:val="center"/>
            </w:pPr>
            <w:r>
              <w:rPr>
                <w:rFonts w:ascii="Calibri" w:hAnsi="Calibri"/>
                <w:b/>
                <w:color w:val="163D32"/>
                <w:sz w:val="23"/>
              </w:rPr>
              <w:t>13 modules</w:t>
            </w:r>
          </w:p>
        </w:tc>
        <w:tc>
          <w:tcPr>
            <w:tcW w:type="dxa" w:w="46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vAlign w:val="center"/>
          </w:tcPr>
          <w:p>
            <w:pPr>
              <w:spacing w:after="0"/>
              <w:jc w:val="center"/>
            </w:pPr>
            <w:r>
              <w:rPr>
                <w:rFonts w:ascii="Calibri" w:hAnsi="Calibri"/>
                <w:b/>
                <w:color w:val="163D32"/>
                <w:sz w:val="23"/>
              </w:rPr>
              <w:t>Cursus structuré par profil</w:t>
            </w:r>
          </w:p>
        </w:tc>
      </w:tr>
      <w:tr>
        <w:tc>
          <w:tcPr>
            <w:tcW w:type="dxa" w:w="46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vAlign w:val="center"/>
          </w:tcPr>
          <w:p>
            <w:pPr>
              <w:spacing w:after="0"/>
              <w:jc w:val="center"/>
            </w:pPr>
            <w:r>
              <w:rPr>
                <w:rFonts w:ascii="Calibri" w:hAnsi="Calibri"/>
                <w:b/>
                <w:color w:val="163D32"/>
                <w:sz w:val="23"/>
              </w:rPr>
              <w:t>35 heures</w:t>
            </w:r>
          </w:p>
        </w:tc>
        <w:tc>
          <w:tcPr>
            <w:tcW w:type="dxa" w:w="46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vAlign w:val="center"/>
          </w:tcPr>
          <w:p>
            <w:pPr>
              <w:spacing w:after="0"/>
              <w:jc w:val="center"/>
            </w:pPr>
            <w:r>
              <w:rPr>
                <w:rFonts w:ascii="Calibri" w:hAnsi="Calibri"/>
                <w:b/>
                <w:color w:val="163D32"/>
                <w:sz w:val="23"/>
              </w:rPr>
              <w:t>5 journées de formation</w:t>
            </w:r>
          </w:p>
        </w:tc>
      </w:tr>
    </w:tbl>
    <w:p>
      <w:pPr>
        <w:spacing w:after="560"/>
      </w:pPr>
    </w:p>
    <w:p>
      <w:pPr>
        <w:spacing w:after="80"/>
        <w:jc w:val="center"/>
      </w:pPr>
      <w:r>
        <w:rPr>
          <w:rFonts w:ascii="Calibri" w:hAnsi="Calibri"/>
          <w:b/>
          <w:color w:val="60736C"/>
          <w:sz w:val="21"/>
        </w:rPr>
        <w:t>Document soumis pour validation</w:t>
      </w:r>
    </w:p>
    <w:p>
      <w:pPr>
        <w:spacing w:after="0"/>
        <w:jc w:val="center"/>
      </w:pPr>
      <w:r>
        <w:rPr>
          <w:rFonts w:ascii="Calibri" w:hAnsi="Calibri"/>
          <w:color w:val="60736C"/>
          <w:sz w:val="20"/>
        </w:rPr>
        <w:t>Version 1.0 - Août 2026</w:t>
      </w:r>
    </w:p>
    <w:p>
      <w:r>
        <w:br w:type="page"/>
      </w:r>
    </w:p>
    <w:p>
      <w:pPr>
        <w:pStyle w:val="Heading1"/>
      </w:pPr>
      <w:r>
        <w:t>1. Objet de la proposition</w:t>
      </w:r>
    </w:p>
    <w:p>
      <w:r>
        <w:t>La présente proposition organise la formation du personnel appelé à utiliser, superviser ou administrer le Système national de gestion et de suivi des certifications (SNGSC / HAUQE Certif). Elle vise une appropriation progressive de l’outil, depuis la connexion sécurisée jusqu’au pilotage, à l’administration et à la continuité des opérations.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Résultat attendu : </w:t>
            </w:r>
            <w:r>
              <w:rPr>
                <w:rFonts w:ascii="Calibri" w:hAnsi="Calibri"/>
                <w:color w:val="26332F"/>
                <w:sz w:val="21"/>
              </w:rPr>
              <w:t>à l’issue du parcours, chaque participant doit pouvoir réaliser de manière autonome les opérations correspondant à son rôle, tout en respectant les règles de sécurité, de qualité des données et de traçabilité.</w:t>
            </w:r>
          </w:p>
        </w:tc>
      </w:tr>
    </w:tbl>
    <w:p>
      <w:pPr>
        <w:spacing w:after="0"/>
      </w:pPr>
    </w:p>
    <w:p>
      <w:pPr>
        <w:pStyle w:val="Heading1"/>
      </w:pPr>
      <w:r>
        <w:t>2. Principes pédagogiques</w:t>
      </w:r>
    </w:p>
    <w:p>
      <w:pPr>
        <w:pStyle w:val="ListBullet"/>
      </w:pPr>
      <w:r>
        <w:t>Approche pratique fondée sur des scénarios proches des activités réelles de la HAUQE.</w:t>
      </w:r>
    </w:p>
    <w:p>
      <w:pPr>
        <w:pStyle w:val="ListBullet"/>
      </w:pPr>
      <w:r>
        <w:t>Démonstration guidée, exercice individuel ou en binôme, puis correction collective.</w:t>
      </w:r>
    </w:p>
    <w:p>
      <w:pPr>
        <w:pStyle w:val="ListBullet"/>
      </w:pPr>
      <w:r>
        <w:t>Utilisation d’un environnement de formation et de données fictives ou anonymisées.</w:t>
      </w:r>
    </w:p>
    <w:p>
      <w:pPr>
        <w:pStyle w:val="ListBullet"/>
      </w:pPr>
      <w:r>
        <w:t>Adaptation des séquences aux rôles et aux permissions effectivement attribués.</w:t>
      </w:r>
    </w:p>
    <w:p>
      <w:pPr>
        <w:pStyle w:val="ListBullet"/>
      </w:pPr>
      <w:r>
        <w:t>Évaluation continue, cas pratique transversal et validation finale des acquis.</w:t>
      </w:r>
    </w:p>
    <w:p>
      <w:pPr>
        <w:pStyle w:val="Heading1"/>
      </w:pPr>
      <w:r>
        <w:t>3. Publics et parcours recommandés</w:t>
      </w:r>
    </w:p>
    <w:tbl>
      <w:tblPr>
        <w:tblW w:type="dxa" w:w="9360"/>
        <w:tblLayout w:type="fixed"/>
        <w:tblLook w:firstColumn="1" w:firstRow="1" w:lastColumn="0" w:lastRow="0" w:noHBand="0" w:noVBand="1" w:val="04A0"/>
        <w:tblInd w:w="120" w:type="dxa"/>
      </w:tblPr>
      <w:tblGrid>
        <w:gridCol w:w="2400"/>
        <w:gridCol w:w="3960"/>
        <w:gridCol w:w="3000"/>
      </w:tblGrid>
      <w:tr>
        <w:trPr>
          <w:tblHeader w:val="true"/>
        </w:trPr>
        <w:tc>
          <w:tcPr>
            <w:tcW w:type="dxa" w:w="240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9"/>
              </w:rPr>
              <w:t>Parcours</w:t>
            </w:r>
          </w:p>
        </w:tc>
        <w:tc>
          <w:tcPr>
            <w:tcW w:type="dxa" w:w="39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9"/>
              </w:rPr>
              <w:t>Profils concernés</w:t>
            </w:r>
          </w:p>
        </w:tc>
        <w:tc>
          <w:tcPr>
            <w:tcW w:type="dxa" w:w="300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9"/>
              </w:rPr>
              <w:t>Modules prioritaires</w:t>
            </w:r>
          </w:p>
        </w:tc>
      </w:tr>
      <w:tr>
        <w:tc>
          <w:tcPr>
            <w:tcW w:type="dxa" w:w="24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color w:val="26332F"/>
                <w:sz w:val="18"/>
              </w:rPr>
              <w:t>Socle commun</w:t>
            </w:r>
          </w:p>
        </w:tc>
        <w:tc>
          <w:tcPr>
            <w:tcW w:type="dxa" w:w="39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Tout le personnel</w:t>
            </w:r>
          </w:p>
        </w:tc>
        <w:tc>
          <w:tcPr>
            <w:tcW w:type="dxa" w:w="30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Modules 1, 2 et 3</w:t>
            </w:r>
          </w:p>
        </w:tc>
      </w:tr>
      <w:tr>
        <w:tc>
          <w:tcPr>
            <w:tcW w:type="dxa" w:w="24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color w:val="26332F"/>
                <w:sz w:val="18"/>
              </w:rPr>
              <w:t>Parcours opérationnel</w:t>
            </w:r>
          </w:p>
        </w:tc>
        <w:tc>
          <w:tcPr>
            <w:tcW w:type="dxa" w:w="39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Agents enquêteurs, vérificateurs et contrôleurs</w:t>
            </w:r>
          </w:p>
        </w:tc>
        <w:tc>
          <w:tcPr>
            <w:tcW w:type="dxa" w:w="30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Modules 4 à 7, 10 et 11</w:t>
            </w:r>
          </w:p>
        </w:tc>
      </w:tr>
      <w:tr>
        <w:tc>
          <w:tcPr>
            <w:tcW w:type="dxa" w:w="24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color w:val="26332F"/>
                <w:sz w:val="18"/>
              </w:rPr>
              <w:t>Parcours validation et pilotage</w:t>
            </w:r>
          </w:p>
        </w:tc>
        <w:tc>
          <w:tcPr>
            <w:tcW w:type="dxa" w:w="39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Validateurs N1/N2, point focal BNEC, analystes et décideurs</w:t>
            </w:r>
          </w:p>
        </w:tc>
        <w:tc>
          <w:tcPr>
            <w:tcW w:type="dxa" w:w="30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Modules 5, 7 à 11</w:t>
            </w:r>
          </w:p>
        </w:tc>
      </w:tr>
      <w:tr>
        <w:tc>
          <w:tcPr>
            <w:tcW w:type="dxa" w:w="24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color w:val="26332F"/>
                <w:sz w:val="18"/>
              </w:rPr>
              <w:t>Parcours administration</w:t>
            </w:r>
          </w:p>
        </w:tc>
        <w:tc>
          <w:tcPr>
            <w:tcW w:type="dxa" w:w="39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Administrateurs fonctionnels et système</w:t>
            </w:r>
          </w:p>
        </w:tc>
        <w:tc>
          <w:tcPr>
            <w:tcW w:type="dxa" w:w="30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Modules 2, 3, 11, 12 et 13</w:t>
            </w:r>
          </w:p>
        </w:tc>
      </w:tr>
      <w:tr>
        <w:tc>
          <w:tcPr>
            <w:tcW w:type="dxa" w:w="24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color w:val="26332F"/>
                <w:sz w:val="18"/>
              </w:rPr>
              <w:t>Parcours veille et qualité</w:t>
            </w:r>
          </w:p>
        </w:tc>
        <w:tc>
          <w:tcPr>
            <w:tcW w:type="dxa" w:w="39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Cellule de veille, responsables qualité et auditeurs</w:t>
            </w:r>
          </w:p>
        </w:tc>
        <w:tc>
          <w:tcPr>
            <w:tcW w:type="dxa" w:w="30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Modules 8 à 11 et 13</w:t>
            </w:r>
          </w:p>
        </w:tc>
      </w:tr>
    </w:tbl>
    <w:p>
      <w:r>
        <w:br w:type="page"/>
      </w:r>
    </w:p>
    <w:p>
      <w:pPr>
        <w:pStyle w:val="Heading1"/>
      </w:pPr>
      <w:r>
        <w:t>4. Synthèse des modules</w:t>
      </w:r>
    </w:p>
    <w:p>
      <w:r>
        <w:t>Le cursus représente 32 heures de formation thématique, complétées par 3 heures de révision, d’évaluation et de consolidation, soit un total de 35 heures.</w:t>
      </w:r>
    </w:p>
    <w:tbl>
      <w:tblPr>
        <w:tblW w:type="dxa" w:w="9360"/>
        <w:tblLayout w:type="fixed"/>
        <w:tblLook w:firstColumn="1" w:firstRow="1" w:lastColumn="0" w:lastRow="0" w:noHBand="0" w:noVBand="1" w:val="04A0"/>
        <w:tblInd w:w="120" w:type="dxa"/>
      </w:tblPr>
      <w:tblGrid>
        <w:gridCol w:w="720"/>
        <w:gridCol w:w="4980"/>
        <w:gridCol w:w="1500"/>
        <w:gridCol w:w="2160"/>
      </w:tblGrid>
      <w:tr>
        <w:trPr>
          <w:tblHeader w:val="true"/>
        </w:trPr>
        <w:tc>
          <w:tcPr>
            <w:tcW w:type="dxa" w:w="72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N°</w:t>
            </w:r>
          </w:p>
        </w:tc>
        <w:tc>
          <w:tcPr>
            <w:tcW w:type="dxa" w:w="49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Module</w:t>
            </w:r>
          </w:p>
        </w:tc>
        <w:tc>
          <w:tcPr>
            <w:tcW w:type="dxa" w:w="150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Durée</w:t>
            </w:r>
          </w:p>
        </w:tc>
        <w:tc>
          <w:tcPr>
            <w:tcW w:type="dxa" w:w="21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Public principal</w:t>
            </w:r>
          </w:p>
        </w:tc>
      </w:tr>
      <w:tr>
        <w:tc>
          <w:tcPr>
            <w:tcW w:type="dxa" w:w="72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1</w:t>
            </w:r>
          </w:p>
        </w:tc>
        <w:tc>
          <w:tcPr>
            <w:tcW w:type="dxa" w:w="498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Présentation générale du SNGSC / HAUQE Certif</w:t>
            </w:r>
          </w:p>
        </w:tc>
        <w:tc>
          <w:tcPr>
            <w:tcW w:type="dxa" w:w="15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1 h 30</w:t>
            </w:r>
          </w:p>
        </w:tc>
        <w:tc>
          <w:tcPr>
            <w:tcW w:type="dxa" w:w="21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Tous les participants</w:t>
            </w:r>
          </w:p>
        </w:tc>
      </w:tr>
      <w:tr>
        <w:tc>
          <w:tcPr>
            <w:tcW w:type="dxa" w:w="72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2</w:t>
            </w:r>
          </w:p>
        </w:tc>
        <w:tc>
          <w:tcPr>
            <w:tcW w:type="dxa" w:w="498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Connexion, sécurité, MFA et gestion du mot de passe</w:t>
            </w:r>
          </w:p>
        </w:tc>
        <w:tc>
          <w:tcPr>
            <w:tcW w:type="dxa" w:w="15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2 h</w:t>
            </w:r>
          </w:p>
        </w:tc>
        <w:tc>
          <w:tcPr>
            <w:tcW w:type="dxa" w:w="21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Tous les utilisateurs</w:t>
            </w:r>
          </w:p>
        </w:tc>
      </w:tr>
      <w:tr>
        <w:tc>
          <w:tcPr>
            <w:tcW w:type="dxa" w:w="72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3</w:t>
            </w:r>
          </w:p>
        </w:tc>
        <w:tc>
          <w:tcPr>
            <w:tcW w:type="dxa" w:w="498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Gestion du profil utilisateur</w:t>
            </w:r>
          </w:p>
        </w:tc>
        <w:tc>
          <w:tcPr>
            <w:tcW w:type="dxa" w:w="15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1 h</w:t>
            </w:r>
          </w:p>
        </w:tc>
        <w:tc>
          <w:tcPr>
            <w:tcW w:type="dxa" w:w="21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Tous les utilisateurs</w:t>
            </w:r>
          </w:p>
        </w:tc>
      </w:tr>
      <w:tr>
        <w:tc>
          <w:tcPr>
            <w:tcW w:type="dxa" w:w="72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4</w:t>
            </w:r>
          </w:p>
        </w:tc>
        <w:tc>
          <w:tcPr>
            <w:tcW w:type="dxa" w:w="498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Gestion des entreprises et organismes certificateurs</w:t>
            </w:r>
          </w:p>
        </w:tc>
        <w:tc>
          <w:tcPr>
            <w:tcW w:type="dxa" w:w="15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2 h 30</w:t>
            </w:r>
          </w:p>
        </w:tc>
        <w:tc>
          <w:tcPr>
            <w:tcW w:type="dxa" w:w="21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Agents, vérificateurs, administrateurs fonctionnels</w:t>
            </w:r>
          </w:p>
        </w:tc>
      </w:tr>
      <w:tr>
        <w:tc>
          <w:tcPr>
            <w:tcW w:type="dxa" w:w="72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5</w:t>
            </w:r>
          </w:p>
        </w:tc>
        <w:tc>
          <w:tcPr>
            <w:tcW w:type="dxa" w:w="498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Enregistrement et suivi des certifications</w:t>
            </w:r>
          </w:p>
        </w:tc>
        <w:tc>
          <w:tcPr>
            <w:tcW w:type="dxa" w:w="15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2 h 30</w:t>
            </w:r>
          </w:p>
        </w:tc>
        <w:tc>
          <w:tcPr>
            <w:tcW w:type="dxa" w:w="21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Agents, vérificateurs, responsables du suivi</w:t>
            </w:r>
          </w:p>
        </w:tc>
      </w:tr>
      <w:tr>
        <w:tc>
          <w:tcPr>
            <w:tcW w:type="dxa" w:w="72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6</w:t>
            </w:r>
          </w:p>
        </w:tc>
        <w:tc>
          <w:tcPr>
            <w:tcW w:type="dxa" w:w="498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Campagnes, missions et collecte des données</w:t>
            </w:r>
          </w:p>
        </w:tc>
        <w:tc>
          <w:tcPr>
            <w:tcW w:type="dxa" w:w="15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4 h</w:t>
            </w:r>
          </w:p>
        </w:tc>
        <w:tc>
          <w:tcPr>
            <w:tcW w:type="dxa" w:w="21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Agents enquêteurs, coordonnateurs, responsables de collecte</w:t>
            </w:r>
          </w:p>
        </w:tc>
      </w:tr>
      <w:tr>
        <w:tc>
          <w:tcPr>
            <w:tcW w:type="dxa" w:w="72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7</w:t>
            </w:r>
          </w:p>
        </w:tc>
        <w:tc>
          <w:tcPr>
            <w:tcW w:type="dxa" w:w="498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Vérification documentaire et contrôle FUCCS</w:t>
            </w:r>
          </w:p>
        </w:tc>
        <w:tc>
          <w:tcPr>
            <w:tcW w:type="dxa" w:w="15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4 h</w:t>
            </w:r>
          </w:p>
        </w:tc>
        <w:tc>
          <w:tcPr>
            <w:tcW w:type="dxa" w:w="21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Agents vérificateurs et contrôleurs</w:t>
            </w:r>
          </w:p>
        </w:tc>
      </w:tr>
      <w:tr>
        <w:tc>
          <w:tcPr>
            <w:tcW w:type="dxa" w:w="72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8</w:t>
            </w:r>
          </w:p>
        </w:tc>
        <w:tc>
          <w:tcPr>
            <w:tcW w:type="dxa" w:w="498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Validation N1/N2 et intégration BNEC</w:t>
            </w:r>
          </w:p>
        </w:tc>
        <w:tc>
          <w:tcPr>
            <w:tcW w:type="dxa" w:w="15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3 h</w:t>
            </w:r>
          </w:p>
        </w:tc>
        <w:tc>
          <w:tcPr>
            <w:tcW w:type="dxa" w:w="21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Validateurs N1/N2, responsables techniques, point focal BNEC</w:t>
            </w:r>
          </w:p>
        </w:tc>
      </w:tr>
      <w:tr>
        <w:tc>
          <w:tcPr>
            <w:tcW w:type="dxa" w:w="72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9</w:t>
            </w:r>
          </w:p>
        </w:tc>
        <w:tc>
          <w:tcPr>
            <w:tcW w:type="dxa" w:w="498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Calcul INFC et classement SNCC</w:t>
            </w:r>
          </w:p>
        </w:tc>
        <w:tc>
          <w:tcPr>
            <w:tcW w:type="dxa" w:w="15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3 h</w:t>
            </w:r>
          </w:p>
        </w:tc>
        <w:tc>
          <w:tcPr>
            <w:tcW w:type="dxa" w:w="21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Analystes, validateurs, décideurs et administrateurs fonctionnels</w:t>
            </w:r>
          </w:p>
        </w:tc>
      </w:tr>
      <w:tr>
        <w:tc>
          <w:tcPr>
            <w:tcW w:type="dxa" w:w="72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10</w:t>
            </w:r>
          </w:p>
        </w:tc>
        <w:tc>
          <w:tcPr>
            <w:tcW w:type="dxa" w:w="498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Alertes, échéances et activités de veille</w:t>
            </w:r>
          </w:p>
        </w:tc>
        <w:tc>
          <w:tcPr>
            <w:tcW w:type="dxa" w:w="15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2 h 30</w:t>
            </w:r>
          </w:p>
        </w:tc>
        <w:tc>
          <w:tcPr>
            <w:tcW w:type="dxa" w:w="21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Cellule de veille, responsables du suivi, agents et décideurs</w:t>
            </w:r>
          </w:p>
        </w:tc>
      </w:tr>
      <w:tr>
        <w:tc>
          <w:tcPr>
            <w:tcW w:type="dxa" w:w="72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11</w:t>
            </w:r>
          </w:p>
        </w:tc>
        <w:tc>
          <w:tcPr>
            <w:tcW w:type="dxa" w:w="498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Tableaux de bord, rapports et exportations</w:t>
            </w:r>
          </w:p>
        </w:tc>
        <w:tc>
          <w:tcPr>
            <w:tcW w:type="dxa" w:w="15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1 h 30</w:t>
            </w:r>
          </w:p>
        </w:tc>
        <w:tc>
          <w:tcPr>
            <w:tcW w:type="dxa" w:w="21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Agents, responsables, décideurs, profils de consultation</w:t>
            </w:r>
          </w:p>
        </w:tc>
      </w:tr>
      <w:tr>
        <w:tc>
          <w:tcPr>
            <w:tcW w:type="dxa" w:w="72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12</w:t>
            </w:r>
          </w:p>
        </w:tc>
        <w:tc>
          <w:tcPr>
            <w:tcW w:type="dxa" w:w="498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Administration des utilisateurs et référentiels</w:t>
            </w:r>
          </w:p>
        </w:tc>
        <w:tc>
          <w:tcPr>
            <w:tcW w:type="dxa" w:w="15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2 h 30</w:t>
            </w:r>
          </w:p>
        </w:tc>
        <w:tc>
          <w:tcPr>
            <w:tcW w:type="dxa" w:w="21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Administrateurs fonctionnels et administrateurs système</w:t>
            </w:r>
          </w:p>
        </w:tc>
      </w:tr>
      <w:tr>
        <w:tc>
          <w:tcPr>
            <w:tcW w:type="dxa" w:w="72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7"/>
              </w:rPr>
              <w:t>13</w:t>
            </w:r>
          </w:p>
        </w:tc>
        <w:tc>
          <w:tcPr>
            <w:tcW w:type="dxa" w:w="498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Sauvegarde, audit et assistance aux utilisateurs</w:t>
            </w:r>
          </w:p>
        </w:tc>
        <w:tc>
          <w:tcPr>
            <w:tcW w:type="dxa" w:w="15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7"/>
              </w:rPr>
              <w:t>2 h</w:t>
            </w:r>
          </w:p>
        </w:tc>
        <w:tc>
          <w:tcPr>
            <w:tcW w:type="dxa" w:w="21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7"/>
              </w:rPr>
              <w:t>Administrateurs, responsables qualité, auditeurs et relais d’assistance</w:t>
            </w:r>
          </w:p>
        </w:tc>
      </w:tr>
    </w:tbl>
    <w:p>
      <w:r>
        <w:br w:type="page"/>
      </w:r>
    </w:p>
    <w:p>
      <w:pPr>
        <w:pStyle w:val="Heading1"/>
      </w:pPr>
      <w:r>
        <w:t>5. Fiches détaillées des modules</w:t>
      </w:r>
    </w:p>
    <w:p>
      <w:r>
        <w:t>Chaque module combine des explications fonctionnelles, une démonstration dans l’application et une mise en pratique évaluée. Les exercices doivent être réalisés avec des comptes de formation correspondant aux rôles visés.</w:t>
      </w:r>
    </w:p>
    <w:p>
      <w:pPr>
        <w:pStyle w:val="Heading1"/>
      </w:pPr>
      <w:r>
        <w:t>Module 1 - Présentation générale du SNGSC / HAUQE Certif</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1 h 30</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Tous les participants</w:t>
            </w:r>
          </w:p>
        </w:tc>
      </w:tr>
    </w:tbl>
    <w:p>
      <w:pPr>
        <w:pStyle w:val="Heading2"/>
      </w:pPr>
      <w:r>
        <w:t>Objectifs d’apprentissage</w:t>
      </w:r>
    </w:p>
    <w:p>
      <w:pPr>
        <w:pStyle w:val="ListBullet"/>
      </w:pPr>
      <w:r>
        <w:t>Comprendre la finalité, le périmètre et la gouvernance du SNGSC.</w:t>
      </w:r>
    </w:p>
    <w:p>
      <w:pPr>
        <w:pStyle w:val="ListBullet"/>
      </w:pPr>
      <w:r>
        <w:t>Situer chaque acteur dans le parcours national de suivi des certifications.</w:t>
      </w:r>
    </w:p>
    <w:p>
      <w:pPr>
        <w:pStyle w:val="Heading2"/>
      </w:pPr>
      <w:r>
        <w:t>Contenu essentiel</w:t>
      </w:r>
    </w:p>
    <w:p>
      <w:pPr>
        <w:pStyle w:val="ListBullet"/>
      </w:pPr>
      <w:r>
        <w:t>Missions de la HAUQE et objectifs du système.</w:t>
      </w:r>
    </w:p>
    <w:p>
      <w:pPr>
        <w:pStyle w:val="ListBullet"/>
      </w:pPr>
      <w:r>
        <w:t>Vue d’ensemble des modules et des profils utilisateurs.</w:t>
      </w:r>
    </w:p>
    <w:p>
      <w:pPr>
        <w:pStyle w:val="ListBullet"/>
      </w:pPr>
      <w:r>
        <w:t>Cycle métier : collecte, vérification, contrôle, validation, intégration BNEC, classement et veille.</w:t>
      </w:r>
    </w:p>
    <w:p>
      <w:pPr>
        <w:pStyle w:val="ListBullet"/>
      </w:pPr>
      <w:r>
        <w:t>Principes de confidentialité, de traçabilité et de qualité des données.</w:t>
      </w:r>
    </w:p>
    <w:p>
      <w:pPr>
        <w:pStyle w:val="ListBullet"/>
      </w:pPr>
      <w:r>
        <w:t>Navigation générale dans l’interface.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Repérer, à partir d’un cas simple, les étapes du parcours d’une certification et les responsabilités associées.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comprend l’architecture fonctionnelle et sait identifier son périmètre d’intervention.</w:t>
            </w:r>
          </w:p>
        </w:tc>
      </w:tr>
    </w:tbl>
    <w:p>
      <w:pPr>
        <w:spacing w:after="0"/>
      </w:pPr>
    </w:p>
    <w:p>
      <w:r>
        <w:br w:type="page"/>
      </w:r>
    </w:p>
    <w:p>
      <w:pPr>
        <w:pStyle w:val="Heading1"/>
      </w:pPr>
      <w:r>
        <w:t>Module 2 - Connexion, sécurité, MFA et gestion du mot de passe</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2 h</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Tous les utilisateurs</w:t>
            </w:r>
          </w:p>
        </w:tc>
      </w:tr>
    </w:tbl>
    <w:p>
      <w:pPr>
        <w:pStyle w:val="Heading2"/>
      </w:pPr>
      <w:r>
        <w:t>Objectifs d’apprentissage</w:t>
      </w:r>
    </w:p>
    <w:p>
      <w:pPr>
        <w:pStyle w:val="ListBullet"/>
      </w:pPr>
      <w:r>
        <w:t>Accéder au système de manière sécurisée et gérer les incidents courants de connexion.</w:t>
      </w:r>
    </w:p>
    <w:p>
      <w:pPr>
        <w:pStyle w:val="ListBullet"/>
      </w:pPr>
      <w:r>
        <w:t>Appliquer les règles HAUQE relatives aux sessions, au MFA et aux mots de passe.</w:t>
      </w:r>
    </w:p>
    <w:p>
      <w:pPr>
        <w:pStyle w:val="Heading2"/>
      </w:pPr>
      <w:r>
        <w:t>Contenu essentiel</w:t>
      </w:r>
    </w:p>
    <w:p>
      <w:pPr>
        <w:pStyle w:val="ListBullet"/>
      </w:pPr>
      <w:r>
        <w:t>Première connexion et changement du mot de passe temporaire.</w:t>
      </w:r>
    </w:p>
    <w:p>
      <w:pPr>
        <w:pStyle w:val="ListBullet"/>
      </w:pPr>
      <w:r>
        <w:t>Création d’un mot de passe robuste et interdiction de son partage.</w:t>
      </w:r>
    </w:p>
    <w:p>
      <w:pPr>
        <w:pStyle w:val="ListBullet"/>
      </w:pPr>
      <w:r>
        <w:t>Activation et utilisation de l’authentification multifacteur (MFA).</w:t>
      </w:r>
    </w:p>
    <w:p>
      <w:pPr>
        <w:pStyle w:val="ListBullet"/>
      </w:pPr>
      <w:r>
        <w:t>Mot de passe oublié, codes de récupération et verrouillage de session.</w:t>
      </w:r>
    </w:p>
    <w:p>
      <w:pPr>
        <w:pStyle w:val="ListBullet"/>
      </w:pPr>
      <w:r>
        <w:t>Expiration ou révocation de session et reconnexion sécurisée.</w:t>
      </w:r>
    </w:p>
    <w:p>
      <w:pPr>
        <w:pStyle w:val="ListBullet"/>
      </w:pPr>
      <w:r>
        <w:t>Reconnaissance des tentatives d’hameçonnage et signalement d’un incident.</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Réaliser une connexion, simuler un échec MFA, verrouiller la session puis exécuter un parcours de récupération contrôlé.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accède au système sans compromettre son compte et sait réagir aux principaux incidents d’authentification.</w:t>
            </w:r>
          </w:p>
        </w:tc>
      </w:tr>
    </w:tbl>
    <w:p>
      <w:pPr>
        <w:spacing w:after="0"/>
      </w:pPr>
    </w:p>
    <w:p>
      <w:r>
        <w:br w:type="page"/>
      </w:r>
    </w:p>
    <w:p>
      <w:pPr>
        <w:pStyle w:val="Heading1"/>
      </w:pPr>
      <w:r>
        <w:t>Module 3 - Gestion du profil utilisateur</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1 h</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Tous les utilisateurs</w:t>
            </w:r>
          </w:p>
        </w:tc>
      </w:tr>
    </w:tbl>
    <w:p>
      <w:pPr>
        <w:pStyle w:val="Heading2"/>
      </w:pPr>
      <w:r>
        <w:t>Objectifs d’apprentissage</w:t>
      </w:r>
    </w:p>
    <w:p>
      <w:pPr>
        <w:pStyle w:val="ListBullet"/>
      </w:pPr>
      <w:r>
        <w:t>Maintenir à jour les informations de son profil.</w:t>
      </w:r>
    </w:p>
    <w:p>
      <w:pPr>
        <w:pStyle w:val="ListBullet"/>
      </w:pPr>
      <w:r>
        <w:t>Configurer ses préférences sans modifier ses habilitations.</w:t>
      </w:r>
    </w:p>
    <w:p>
      <w:pPr>
        <w:pStyle w:val="Heading2"/>
      </w:pPr>
      <w:r>
        <w:t>Contenu essentiel</w:t>
      </w:r>
    </w:p>
    <w:p>
      <w:pPr>
        <w:pStyle w:val="ListBullet"/>
      </w:pPr>
      <w:r>
        <w:t>Consultation et mise à jour des informations personnelles autorisées.</w:t>
      </w:r>
    </w:p>
    <w:p>
      <w:pPr>
        <w:pStyle w:val="ListBullet"/>
      </w:pPr>
      <w:r>
        <w:t>Photo de profil et affichage sur l’écran de verrouillage.</w:t>
      </w:r>
    </w:p>
    <w:p>
      <w:pPr>
        <w:pStyle w:val="ListBullet"/>
      </w:pPr>
      <w:r>
        <w:t>Préférences de notification et d’actualisation automatique.</w:t>
      </w:r>
    </w:p>
    <w:p>
      <w:pPr>
        <w:pStyle w:val="ListBullet"/>
      </w:pPr>
      <w:r>
        <w:t>Changement volontaire du mot de passe et conséquences sur les sessions actives.</w:t>
      </w:r>
    </w:p>
    <w:p>
      <w:pPr>
        <w:pStyle w:val="ListBullet"/>
      </w:pPr>
      <w:r>
        <w:t>Limites entre profil personnel, rôle et permissions administrées.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Mettre à jour un profil de démonstration, régler les préférences et vérifier leur prise en compte.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personnaliser son compte tout en respectant les règles de sécurité.</w:t>
            </w:r>
          </w:p>
        </w:tc>
      </w:tr>
    </w:tbl>
    <w:p>
      <w:pPr>
        <w:spacing w:after="0"/>
      </w:pPr>
    </w:p>
    <w:p>
      <w:r>
        <w:br w:type="page"/>
      </w:r>
    </w:p>
    <w:p>
      <w:pPr>
        <w:pStyle w:val="Heading1"/>
      </w:pPr>
      <w:r>
        <w:t>Module 4 - Gestion des entreprises et organismes certificateurs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2 h 30</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Agents, vérificateurs, administrateurs fonctionnels</w:t>
            </w:r>
          </w:p>
        </w:tc>
      </w:tr>
    </w:tbl>
    <w:p>
      <w:pPr>
        <w:pStyle w:val="Heading2"/>
      </w:pPr>
      <w:r>
        <w:t>Objectifs d’apprentissage</w:t>
      </w:r>
    </w:p>
    <w:p>
      <w:pPr>
        <w:pStyle w:val="ListBullet"/>
      </w:pPr>
      <w:r>
        <w:t>Créer, rechercher, consulter et mettre à jour les dossiers des acteurs.</w:t>
      </w:r>
    </w:p>
    <w:p>
      <w:pPr>
        <w:pStyle w:val="ListBullet"/>
      </w:pPr>
      <w:r>
        <w:t>Prévenir les doublons et améliorer la qualité des données de référence.</w:t>
      </w:r>
    </w:p>
    <w:p>
      <w:pPr>
        <w:pStyle w:val="Heading2"/>
      </w:pPr>
      <w:r>
        <w:t>Contenu essentiel</w:t>
      </w:r>
    </w:p>
    <w:p>
      <w:pPr>
        <w:pStyle w:val="ListBullet"/>
      </w:pPr>
      <w:r>
        <w:t>Registre des entreprises : identité, RCCM, NIF, secteur, localisation et contacts.</w:t>
      </w:r>
    </w:p>
    <w:p>
      <w:pPr>
        <w:pStyle w:val="ListBullet"/>
      </w:pPr>
      <w:r>
        <w:t>Registre des organismes certificateurs et périmètres d’intervention.</w:t>
      </w:r>
    </w:p>
    <w:p>
      <w:pPr>
        <w:pStyle w:val="ListBullet"/>
      </w:pPr>
      <w:r>
        <w:t>Recherche, filtres, vues détail et historique.</w:t>
      </w:r>
    </w:p>
    <w:p>
      <w:pPr>
        <w:pStyle w:val="ListBullet"/>
      </w:pPr>
      <w:r>
        <w:t>Création et modification contrôlées des fiches.</w:t>
      </w:r>
    </w:p>
    <w:p>
      <w:pPr>
        <w:pStyle w:val="ListBullet"/>
      </w:pPr>
      <w:r>
        <w:t>Détection des doublons, pièces justificatives et règles de qualité.</w:t>
      </w:r>
    </w:p>
    <w:p>
      <w:pPr>
        <w:pStyle w:val="ListBullet"/>
      </w:pPr>
      <w:r>
        <w:t>Archivage et consultation selon les droits.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Créer une entreprise et un organisme certificateur fictifs, puis corriger une anomalie de qualité détectée.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constituer un dossier acteur complet, cohérent et traçable.</w:t>
            </w:r>
          </w:p>
        </w:tc>
      </w:tr>
    </w:tbl>
    <w:p>
      <w:pPr>
        <w:spacing w:after="0"/>
      </w:pPr>
    </w:p>
    <w:p>
      <w:r>
        <w:br w:type="page"/>
      </w:r>
    </w:p>
    <w:p>
      <w:pPr>
        <w:pStyle w:val="Heading1"/>
      </w:pPr>
      <w:r>
        <w:t>Module 5 - Enregistrement et suivi des certifications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2 h 30</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Agents, vérificateurs, responsables du suivi</w:t>
            </w:r>
          </w:p>
        </w:tc>
      </w:tr>
    </w:tbl>
    <w:p>
      <w:pPr>
        <w:pStyle w:val="Heading2"/>
      </w:pPr>
      <w:r>
        <w:t>Objectifs d’apprentissage</w:t>
      </w:r>
    </w:p>
    <w:p>
      <w:pPr>
        <w:pStyle w:val="ListBullet"/>
      </w:pPr>
      <w:r>
        <w:t>Enregistrer correctement un certificat et ses informations essentielles.</w:t>
      </w:r>
    </w:p>
    <w:p>
      <w:pPr>
        <w:pStyle w:val="ListBullet"/>
      </w:pPr>
      <w:r>
        <w:t>Suivre sa validité, son statut et ses événements associés.</w:t>
      </w:r>
    </w:p>
    <w:p>
      <w:pPr>
        <w:pStyle w:val="Heading2"/>
      </w:pPr>
      <w:r>
        <w:t>Contenu essentiel</w:t>
      </w:r>
    </w:p>
    <w:p>
      <w:pPr>
        <w:pStyle w:val="ListBullet"/>
      </w:pPr>
      <w:r>
        <w:t>Identification du certificat, norme, portée et organisme émetteur.</w:t>
      </w:r>
    </w:p>
    <w:p>
      <w:pPr>
        <w:pStyle w:val="ListBullet"/>
      </w:pPr>
      <w:r>
        <w:t>Dates d’obtention, d’expiration et audits de surveillance.</w:t>
      </w:r>
    </w:p>
    <w:p>
      <w:pPr>
        <w:pStyle w:val="ListBullet"/>
      </w:pPr>
      <w:r>
        <w:t>Pièces justificatives et statut de vérification.</w:t>
      </w:r>
    </w:p>
    <w:p>
      <w:pPr>
        <w:pStyle w:val="ListBullet"/>
      </w:pPr>
      <w:r>
        <w:t>Association à l’entreprise titulaire et contrôle des incohérences.</w:t>
      </w:r>
    </w:p>
    <w:p>
      <w:pPr>
        <w:pStyle w:val="ListBullet"/>
      </w:pPr>
      <w:r>
        <w:t>Suivi des renouvellements, modifications et historiques.</w:t>
      </w:r>
    </w:p>
    <w:p>
      <w:pPr>
        <w:pStyle w:val="ListBullet"/>
      </w:pPr>
      <w:r>
        <w:t>Consultation du registre national et export selon habilitation.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Enregistrer un certificat de démonstration, joindre ses preuves et identifier les prochaines échéances.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créer et maintenir une fiche de certification exploitable pour le suivi national.</w:t>
            </w:r>
          </w:p>
        </w:tc>
      </w:tr>
    </w:tbl>
    <w:p>
      <w:pPr>
        <w:spacing w:after="0"/>
      </w:pPr>
    </w:p>
    <w:p>
      <w:r>
        <w:br w:type="page"/>
      </w:r>
    </w:p>
    <w:p>
      <w:pPr>
        <w:pStyle w:val="Heading1"/>
      </w:pPr>
      <w:r>
        <w:t>Module 6 - Campagnes, missions et collecte des données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4 h</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Agents enquêteurs, coordonnateurs, responsables de collecte</w:t>
            </w:r>
          </w:p>
        </w:tc>
      </w:tr>
    </w:tbl>
    <w:p>
      <w:pPr>
        <w:pStyle w:val="Heading2"/>
      </w:pPr>
      <w:r>
        <w:t>Objectifs d’apprentissage</w:t>
      </w:r>
    </w:p>
    <w:p>
      <w:pPr>
        <w:pStyle w:val="ListBullet"/>
      </w:pPr>
      <w:r>
        <w:t>Préparer et exécuter une collecte structurée dans le cadre d’une mission.</w:t>
      </w:r>
    </w:p>
    <w:p>
      <w:pPr>
        <w:pStyle w:val="ListBullet"/>
      </w:pPr>
      <w:r>
        <w:t>Soumettre des données complètes accompagnées de leurs justificatifs.</w:t>
      </w:r>
    </w:p>
    <w:p>
      <w:pPr>
        <w:pStyle w:val="Heading2"/>
      </w:pPr>
      <w:r>
        <w:t>Contenu essentiel</w:t>
      </w:r>
    </w:p>
    <w:p>
      <w:pPr>
        <w:pStyle w:val="ListBullet"/>
      </w:pPr>
      <w:r>
        <w:t>Création et planification d’une campagne.</w:t>
      </w:r>
    </w:p>
    <w:p>
      <w:pPr>
        <w:pStyle w:val="ListBullet"/>
      </w:pPr>
      <w:r>
        <w:t>Déclinaison en missions, zones, responsables et calendrier.</w:t>
      </w:r>
    </w:p>
    <w:p>
      <w:pPr>
        <w:pStyle w:val="ListBullet"/>
      </w:pPr>
      <w:r>
        <w:t>Sélection du déclarant, de l’entreprise et du contexte de collecte.</w:t>
      </w:r>
    </w:p>
    <w:p>
      <w:pPr>
        <w:pStyle w:val="ListBullet"/>
      </w:pPr>
      <w:r>
        <w:t>Saisie des offres, certifications et situations déclarées.</w:t>
      </w:r>
    </w:p>
    <w:p>
      <w:pPr>
        <w:pStyle w:val="ListBullet"/>
      </w:pPr>
      <w:r>
        <w:t>Ajout, contrôle et retrait des justificatifs avant envoi.</w:t>
      </w:r>
    </w:p>
    <w:p>
      <w:pPr>
        <w:pStyle w:val="ListBullet"/>
      </w:pPr>
      <w:r>
        <w:t>Brouillon, contrôle de complétude, soumission et historique métier.</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Réaliser de bout en bout une collecte fictive, depuis la mission jusqu’à la soumission du dossier complet.</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produire une collecte cohérente, documentée et prête pour vérification.</w:t>
            </w:r>
          </w:p>
        </w:tc>
      </w:tr>
    </w:tbl>
    <w:p>
      <w:pPr>
        <w:spacing w:after="0"/>
      </w:pPr>
    </w:p>
    <w:p>
      <w:r>
        <w:br w:type="page"/>
      </w:r>
    </w:p>
    <w:p>
      <w:pPr>
        <w:pStyle w:val="Heading1"/>
      </w:pPr>
      <w:r>
        <w:t>Module 7 - Vérification documentaire et contrôle FUCCS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4 h</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Agents vérificateurs et contrôleurs</w:t>
            </w:r>
          </w:p>
        </w:tc>
      </w:tr>
    </w:tbl>
    <w:p>
      <w:pPr>
        <w:pStyle w:val="Heading2"/>
      </w:pPr>
      <w:r>
        <w:t>Objectifs d’apprentissage</w:t>
      </w:r>
    </w:p>
    <w:p>
      <w:pPr>
        <w:pStyle w:val="ListBullet"/>
      </w:pPr>
      <w:r>
        <w:t>Évaluer la recevabilité et l’authenticité des pièces collectées.</w:t>
      </w:r>
    </w:p>
    <w:p>
      <w:pPr>
        <w:pStyle w:val="ListBullet"/>
      </w:pPr>
      <w:r>
        <w:t>Appliquer la grille FUCCS versionnée sans inventer de critères ni de seuils.</w:t>
      </w:r>
    </w:p>
    <w:p>
      <w:pPr>
        <w:pStyle w:val="Heading2"/>
      </w:pPr>
      <w:r>
        <w:t>Contenu essentiel</w:t>
      </w:r>
    </w:p>
    <w:p>
      <w:pPr>
        <w:pStyle w:val="ListBullet"/>
      </w:pPr>
      <w:r>
        <w:t>File de vérification et prise en charge d’un dossier.</w:t>
      </w:r>
    </w:p>
    <w:p>
      <w:pPr>
        <w:pStyle w:val="ListBullet"/>
      </w:pPr>
      <w:r>
        <w:t>Contrôles de présence, lisibilité, cohérence, authenticité et validité.</w:t>
      </w:r>
    </w:p>
    <w:p>
      <w:pPr>
        <w:pStyle w:val="ListBullet"/>
      </w:pPr>
      <w:r>
        <w:t>Constats, réserves, demandes de correction et preuves associées.</w:t>
      </w:r>
    </w:p>
    <w:p>
      <w:pPr>
        <w:pStyle w:val="ListBullet"/>
      </w:pPr>
      <w:r>
        <w:t>Passage de la vérification documentaire au contrôle.</w:t>
      </w:r>
    </w:p>
    <w:p>
      <w:pPr>
        <w:pStyle w:val="ListBullet"/>
      </w:pPr>
      <w:r>
        <w:t>Utilisation de la grille FUCCS chargée depuis le référentiel actif.</w:t>
      </w:r>
    </w:p>
    <w:p>
      <w:pPr>
        <w:pStyle w:val="ListBullet"/>
      </w:pPr>
      <w:r>
        <w:t>Calcul, justification du résultat et traçabilité de la décision.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Examiner un dossier comportant plusieurs anomalies, formuler les constats et renseigner une grille FUCCS de démonstration.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documenter un contrôle reproductible et conforme à la règle versionnée.</w:t>
            </w:r>
          </w:p>
        </w:tc>
      </w:tr>
    </w:tbl>
    <w:p>
      <w:pPr>
        <w:spacing w:after="0"/>
      </w:pPr>
    </w:p>
    <w:p>
      <w:r>
        <w:br w:type="page"/>
      </w:r>
    </w:p>
    <w:p>
      <w:pPr>
        <w:pStyle w:val="Heading1"/>
      </w:pPr>
      <w:r>
        <w:t>Module 8 - Validation N1/N2 et intégration BNEC</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3 h</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Validateurs N1/N2, responsables techniques, point focal BNEC</w:t>
            </w:r>
          </w:p>
        </w:tc>
      </w:tr>
    </w:tbl>
    <w:p>
      <w:pPr>
        <w:pStyle w:val="Heading2"/>
      </w:pPr>
      <w:r>
        <w:t>Objectifs d’apprentissage</w:t>
      </w:r>
    </w:p>
    <w:p>
      <w:pPr>
        <w:pStyle w:val="ListBullet"/>
      </w:pPr>
      <w:r>
        <w:t>Réaliser les validations successives dans le respect de la séparation des responsabilités.</w:t>
      </w:r>
    </w:p>
    <w:p>
      <w:pPr>
        <w:pStyle w:val="ListBullet"/>
      </w:pPr>
      <w:r>
        <w:t>Intégrer dans la BNEC uniquement les dossiers remplissant les conditions requises.</w:t>
      </w:r>
    </w:p>
    <w:p>
      <w:pPr>
        <w:pStyle w:val="Heading2"/>
      </w:pPr>
      <w:r>
        <w:t>Contenu essentiel</w:t>
      </w:r>
    </w:p>
    <w:p>
      <w:pPr>
        <w:pStyle w:val="ListBullet"/>
      </w:pPr>
      <w:r>
        <w:t>Lecture du dossier consolidé et des résultats de contrôle.</w:t>
      </w:r>
    </w:p>
    <w:p>
      <w:pPr>
        <w:pStyle w:val="ListBullet"/>
      </w:pPr>
      <w:r>
        <w:t>Validation de niveau 1, réserves et retour pour correction.</w:t>
      </w:r>
    </w:p>
    <w:p>
      <w:pPr>
        <w:pStyle w:val="ListBullet"/>
      </w:pPr>
      <w:r>
        <w:t>Validation de niveau 2 et décision technique finale.</w:t>
      </w:r>
    </w:p>
    <w:p>
      <w:pPr>
        <w:pStyle w:val="ListBullet"/>
      </w:pPr>
      <w:r>
        <w:t>Plan de codification et attribution du code national.</w:t>
      </w:r>
    </w:p>
    <w:p>
      <w:pPr>
        <w:pStyle w:val="ListBullet"/>
      </w:pPr>
      <w:r>
        <w:t>Intégration BNEC, contrôle qualité et historisation.</w:t>
      </w:r>
    </w:p>
    <w:p>
      <w:pPr>
        <w:pStyle w:val="ListBullet"/>
      </w:pPr>
      <w:r>
        <w:t>Création automatique des échéances et éléments de veille associés.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Traiter un dossier depuis la validation N1 jusqu’à une intégration BNEC simulée, avec justification des décisions.</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valider ou retourner un dossier et sécuriser son intégration dans la base nationale.</w:t>
            </w:r>
          </w:p>
        </w:tc>
      </w:tr>
    </w:tbl>
    <w:p>
      <w:pPr>
        <w:spacing w:after="0"/>
      </w:pPr>
    </w:p>
    <w:p>
      <w:r>
        <w:br w:type="page"/>
      </w:r>
    </w:p>
    <w:p>
      <w:pPr>
        <w:pStyle w:val="Heading1"/>
      </w:pPr>
      <w:r>
        <w:t>Module 9 - Calcul INFC et classement SNCC</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3 h</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Analystes, validateurs, décideurs et administrateurs fonctionnels</w:t>
            </w:r>
          </w:p>
        </w:tc>
      </w:tr>
    </w:tbl>
    <w:p>
      <w:pPr>
        <w:pStyle w:val="Heading2"/>
      </w:pPr>
      <w:r>
        <w:t>Objectifs d’apprentissage</w:t>
      </w:r>
    </w:p>
    <w:p>
      <w:pPr>
        <w:pStyle w:val="ListBullet"/>
      </w:pPr>
      <w:r>
        <w:t>Interpréter le calcul de l’INFC selon le modèle publié.</w:t>
      </w:r>
    </w:p>
    <w:p>
      <w:pPr>
        <w:pStyle w:val="ListBullet"/>
      </w:pPr>
      <w:r>
        <w:t>Comprendre le classement SNCC et ses composantes sans substituer une appréciation personnelle aux règles validées.</w:t>
      </w:r>
    </w:p>
    <w:p>
      <w:pPr>
        <w:pStyle w:val="Heading2"/>
      </w:pPr>
      <w:r>
        <w:t>Contenu essentiel</w:t>
      </w:r>
    </w:p>
    <w:p>
      <w:pPr>
        <w:pStyle w:val="ListBullet"/>
      </w:pPr>
      <w:r>
        <w:t>Structure de l’INFC sur 100 points et domaines pondérés.</w:t>
      </w:r>
    </w:p>
    <w:p>
      <w:pPr>
        <w:pStyle w:val="ListBullet"/>
      </w:pPr>
      <w:r>
        <w:t>Conditions de calcul, données manquantes et statut du résultat.</w:t>
      </w:r>
    </w:p>
    <w:p>
      <w:pPr>
        <w:pStyle w:val="ListBullet"/>
      </w:pPr>
      <w:r>
        <w:t>Niveaux institutionnels paramétrés et blocage en leur absence.</w:t>
      </w:r>
    </w:p>
    <w:p>
      <w:pPr>
        <w:pStyle w:val="ListBullet"/>
      </w:pPr>
      <w:r>
        <w:t>Composantes du SNCC : conformité, statut administratif et risque.</w:t>
      </w:r>
    </w:p>
    <w:p>
      <w:pPr>
        <w:pStyle w:val="ListBullet"/>
      </w:pPr>
      <w:r>
        <w:t>Lecture des résultats individuels et agrégés.</w:t>
      </w:r>
    </w:p>
    <w:p>
      <w:pPr>
        <w:pStyle w:val="ListBullet"/>
      </w:pPr>
      <w:r>
        <w:t>Traçabilité, validation et limites d’interprétation.</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Analyser un cas chiffré, expliquer le score obtenu et déterminer si le résultat peut être validé ou doit rester calculé.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expliquer un résultat INFC/SNCC et identifier les conditions de sa validation.</w:t>
            </w:r>
          </w:p>
        </w:tc>
      </w:tr>
    </w:tbl>
    <w:p>
      <w:pPr>
        <w:spacing w:after="0"/>
      </w:pPr>
    </w:p>
    <w:p>
      <w:r>
        <w:br w:type="page"/>
      </w:r>
    </w:p>
    <w:p>
      <w:pPr>
        <w:pStyle w:val="Heading1"/>
      </w:pPr>
      <w:r>
        <w:t>Module 10 - Alertes, échéances et activités de veille</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2 h 30</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Cellule de veille, responsables du suivi, agents et décideurs</w:t>
            </w:r>
          </w:p>
        </w:tc>
      </w:tr>
    </w:tbl>
    <w:p>
      <w:pPr>
        <w:pStyle w:val="Heading2"/>
      </w:pPr>
      <w:r>
        <w:t>Objectifs d’apprentissage</w:t>
      </w:r>
    </w:p>
    <w:p>
      <w:pPr>
        <w:pStyle w:val="ListBullet"/>
      </w:pPr>
      <w:r>
        <w:t>Prioriser et traiter les alertes et échéances selon leur niveau de risque.</w:t>
      </w:r>
    </w:p>
    <w:p>
      <w:pPr>
        <w:pStyle w:val="ListBullet"/>
      </w:pPr>
      <w:r>
        <w:t>Tracer les relances et activités de la Cellule de Veille des Certifications.</w:t>
      </w:r>
    </w:p>
    <w:p>
      <w:pPr>
        <w:pStyle w:val="Heading2"/>
      </w:pPr>
      <w:r>
        <w:t>Contenu essentiel</w:t>
      </w:r>
    </w:p>
    <w:p>
      <w:pPr>
        <w:pStyle w:val="ListBullet"/>
      </w:pPr>
      <w:r>
        <w:t>Seuils d’alerte : 180 jours, 90 jours, 30 jours et expiration.</w:t>
      </w:r>
    </w:p>
    <w:p>
      <w:pPr>
        <w:pStyle w:val="ListBullet"/>
      </w:pPr>
      <w:r>
        <w:t>Lecture, affectation, traitement et résolution des alertes.</w:t>
      </w:r>
    </w:p>
    <w:p>
      <w:pPr>
        <w:pStyle w:val="ListBullet"/>
      </w:pPr>
      <w:r>
        <w:t>Calendrier des échéances, filtres et responsables.</w:t>
      </w:r>
    </w:p>
    <w:p>
      <w:pPr>
        <w:pStyle w:val="ListBullet"/>
      </w:pPr>
      <w:r>
        <w:t>Dossiers de veille, relances et réponses externes.</w:t>
      </w:r>
    </w:p>
    <w:p>
      <w:pPr>
        <w:pStyle w:val="ListBullet"/>
      </w:pPr>
      <w:r>
        <w:t>Notifications internes et courriels institutionnels HAUQE.</w:t>
      </w:r>
    </w:p>
    <w:p>
      <w:pPr>
        <w:pStyle w:val="ListBullet"/>
      </w:pPr>
      <w:r>
        <w:t>Notes mensuelles, rapports trimestriels et preuve des actions.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Qualifier une alerte critique, l’affecter, enregistrer une relance puis documenter sa résolution.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organiser un suivi proactif et conserver la preuve de chaque action.</w:t>
            </w:r>
          </w:p>
        </w:tc>
      </w:tr>
    </w:tbl>
    <w:p>
      <w:pPr>
        <w:spacing w:after="0"/>
      </w:pPr>
    </w:p>
    <w:p>
      <w:r>
        <w:br w:type="page"/>
      </w:r>
    </w:p>
    <w:p>
      <w:pPr>
        <w:pStyle w:val="Heading1"/>
      </w:pPr>
      <w:r>
        <w:t>Module 11 - Tableaux de bord, rapports et exportations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1 h 30</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Agents, responsables, décideurs, profils de consultation</w:t>
            </w:r>
          </w:p>
        </w:tc>
      </w:tr>
    </w:tbl>
    <w:p>
      <w:pPr>
        <w:pStyle w:val="Heading2"/>
      </w:pPr>
      <w:r>
        <w:t>Objectifs d’apprentissage</w:t>
      </w:r>
    </w:p>
    <w:p>
      <w:pPr>
        <w:pStyle w:val="ListBullet"/>
      </w:pPr>
      <w:r>
        <w:t>Choisir le tableau de bord adapté au niveau de pilotage.</w:t>
      </w:r>
    </w:p>
    <w:p>
      <w:pPr>
        <w:pStyle w:val="ListBullet"/>
      </w:pPr>
      <w:r>
        <w:t>Produire et interpréter des rapports ou exports dans le respect des droits et de la confidentialité.</w:t>
      </w:r>
    </w:p>
    <w:p>
      <w:pPr>
        <w:pStyle w:val="Heading2"/>
      </w:pPr>
      <w:r>
        <w:t>Contenu essentiel</w:t>
      </w:r>
    </w:p>
    <w:p>
      <w:pPr>
        <w:pStyle w:val="ListBullet"/>
      </w:pPr>
      <w:r>
        <w:t>Tableaux de bord opérationnel, tactique, stratégique, annuel et public.</w:t>
      </w:r>
    </w:p>
    <w:p>
      <w:pPr>
        <w:pStyle w:val="ListBullet"/>
      </w:pPr>
      <w:r>
        <w:t>Indicateurs, filtres, périodes et périmètres autorisés.</w:t>
      </w:r>
    </w:p>
    <w:p>
      <w:pPr>
        <w:pStyle w:val="ListBullet"/>
      </w:pPr>
      <w:r>
        <w:t>Lecture des tendances, risques et actions prioritaires.</w:t>
      </w:r>
    </w:p>
    <w:p>
      <w:pPr>
        <w:pStyle w:val="ListBullet"/>
      </w:pPr>
      <w:r>
        <w:t>Production de rapports PDF, Excel ou CSV.</w:t>
      </w:r>
    </w:p>
    <w:p>
      <w:pPr>
        <w:pStyle w:val="ListBullet"/>
      </w:pPr>
      <w:r>
        <w:t>Contrôle des données avant diffusion.</w:t>
      </w:r>
    </w:p>
    <w:p>
      <w:pPr>
        <w:pStyle w:val="ListBullet"/>
      </w:pPr>
      <w:r>
        <w:t>Règles spécifiques aux données publiques agrégées.</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Construire une lecture commentée d’un tableau de bord et produire un export adapté à un destinataire donné.</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transformer les données autorisées en information utile au pilotage.</w:t>
            </w:r>
          </w:p>
        </w:tc>
      </w:tr>
    </w:tbl>
    <w:p>
      <w:pPr>
        <w:spacing w:after="0"/>
      </w:pPr>
    </w:p>
    <w:p>
      <w:r>
        <w:br w:type="page"/>
      </w:r>
    </w:p>
    <w:p>
      <w:pPr>
        <w:pStyle w:val="Heading1"/>
      </w:pPr>
      <w:r>
        <w:t>Module 12 - Administration des utilisateurs et référentiels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2 h 30</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Administrateurs fonctionnels et administrateurs système</w:t>
            </w:r>
          </w:p>
        </w:tc>
      </w:tr>
    </w:tbl>
    <w:p>
      <w:pPr>
        <w:pStyle w:val="Heading2"/>
      </w:pPr>
      <w:r>
        <w:t>Objectifs d’apprentissage</w:t>
      </w:r>
    </w:p>
    <w:p>
      <w:pPr>
        <w:pStyle w:val="ListBullet"/>
      </w:pPr>
      <w:r>
        <w:t>Administrer les comptes selon le principe du moindre privilège.</w:t>
      </w:r>
    </w:p>
    <w:p>
      <w:pPr>
        <w:pStyle w:val="ListBullet"/>
      </w:pPr>
      <w:r>
        <w:t>Gérer les référentiels et règles versionnées sans altérer l’historique métier.</w:t>
      </w:r>
    </w:p>
    <w:p>
      <w:pPr>
        <w:pStyle w:val="Heading2"/>
      </w:pPr>
      <w:r>
        <w:t>Contenu essentiel</w:t>
      </w:r>
    </w:p>
    <w:p>
      <w:pPr>
        <w:pStyle w:val="ListBullet"/>
      </w:pPr>
      <w:r>
        <w:t>Création, activation, suspension et désactivation des comptes.</w:t>
      </w:r>
    </w:p>
    <w:p>
      <w:pPr>
        <w:pStyle w:val="ListBullet"/>
      </w:pPr>
      <w:r>
        <w:t>Rôles, permissions, périmètres et séparation des responsabilités.</w:t>
      </w:r>
    </w:p>
    <w:p>
      <w:pPr>
        <w:pStyle w:val="ListBullet"/>
      </w:pPr>
      <w:r>
        <w:t>Réinitialisation contrôlée des accès et accompagnement des utilisateurs.</w:t>
      </w:r>
    </w:p>
    <w:p>
      <w:pPr>
        <w:pStyle w:val="ListBullet"/>
      </w:pPr>
      <w:r>
        <w:t>Gestion des zones, types, normes et autres référentiels.</w:t>
      </w:r>
    </w:p>
    <w:p>
      <w:pPr>
        <w:pStyle w:val="ListBullet"/>
      </w:pPr>
      <w:r>
        <w:t>Versionnement, publication et archivage des règles.</w:t>
      </w:r>
    </w:p>
    <w:p>
      <w:pPr>
        <w:pStyle w:val="ListBullet"/>
      </w:pPr>
      <w:r>
        <w:t>Contrôles avant modification et lecture du journal d’audit.</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Créer un utilisateur fictif, lui attribuer un rôle minimal puis publier une modification de référentiel en environnement de formation.</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L’administrateur sait gérer les accès et référentiels sans compromettre la sécurité ni la traçabilité.</w:t>
            </w:r>
          </w:p>
        </w:tc>
      </w:tr>
    </w:tbl>
    <w:p>
      <w:pPr>
        <w:spacing w:after="0"/>
      </w:pPr>
    </w:p>
    <w:p>
      <w:r>
        <w:br w:type="page"/>
      </w:r>
    </w:p>
    <w:p>
      <w:pPr>
        <w:pStyle w:val="Heading1"/>
      </w:pPr>
      <w:r>
        <w:t>Module 13 - Sauvegarde, audit et assistance aux utilisateurs</w:t>
      </w:r>
    </w:p>
    <w:tbl>
      <w:tblPr>
        <w:tblW w:type="dxa" w:w="9360"/>
        <w:tblLayout w:type="fixed"/>
        <w:tblLook w:firstColumn="1" w:firstRow="1" w:lastColumn="0" w:lastRow="0" w:noHBand="0" w:noVBand="1" w:val="04A0"/>
        <w:tblInd w:w="120" w:type="dxa"/>
      </w:tblPr>
      <w:tblGrid>
        <w:gridCol w:w="2880"/>
        <w:gridCol w:w="6480"/>
      </w:tblGrid>
      <w:tr>
        <w:tc>
          <w:tcPr>
            <w:tcW w:type="dxa" w:w="28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Durée : </w:t>
            </w:r>
            <w:r>
              <w:rPr>
                <w:rFonts w:ascii="Calibri" w:hAnsi="Calibri"/>
                <w:color w:val="26332F"/>
                <w:sz w:val="19"/>
              </w:rPr>
              <w:t>2 h</w:t>
            </w:r>
          </w:p>
        </w:tc>
        <w:tc>
          <w:tcPr>
            <w:tcW w:type="dxa" w:w="648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087659"/>
                <w:sz w:val="19"/>
              </w:rPr>
              <w:t xml:space="preserve">Public : </w:t>
            </w:r>
            <w:r>
              <w:rPr>
                <w:rFonts w:ascii="Calibri" w:hAnsi="Calibri"/>
                <w:color w:val="26332F"/>
                <w:sz w:val="19"/>
              </w:rPr>
              <w:t>Administrateurs, responsables qualité, auditeurs et relais d’assistance</w:t>
            </w:r>
          </w:p>
        </w:tc>
      </w:tr>
    </w:tbl>
    <w:p>
      <w:pPr>
        <w:pStyle w:val="Heading2"/>
      </w:pPr>
      <w:r>
        <w:t>Objectifs d’apprentissage</w:t>
      </w:r>
    </w:p>
    <w:p>
      <w:pPr>
        <w:pStyle w:val="ListBullet"/>
      </w:pPr>
      <w:r>
        <w:t>Comprendre les contrôles de sauvegarde et de restauration sans exécuter d’opération risquée.</w:t>
      </w:r>
    </w:p>
    <w:p>
      <w:pPr>
        <w:pStyle w:val="ListBullet"/>
      </w:pPr>
      <w:r>
        <w:t>Exploiter les traces d’audit et organiser une assistance de premier niveau.</w:t>
      </w:r>
    </w:p>
    <w:p>
      <w:pPr>
        <w:pStyle w:val="Heading2"/>
      </w:pPr>
      <w:r>
        <w:t>Contenu essentiel</w:t>
      </w:r>
    </w:p>
    <w:p>
      <w:pPr>
        <w:pStyle w:val="ListBullet"/>
      </w:pPr>
      <w:r>
        <w:t>Sauvegardes de la base, des documents et sauvegardes complètes.</w:t>
      </w:r>
    </w:p>
    <w:p>
      <w:pPr>
        <w:pStyle w:val="ListBullet"/>
      </w:pPr>
      <w:r>
        <w:t>Politiques de fréquence, rétention, contrôle d’empreinte et stockage.</w:t>
      </w:r>
    </w:p>
    <w:p>
      <w:pPr>
        <w:pStyle w:val="ListBullet"/>
      </w:pPr>
      <w:r>
        <w:t>Principe du test de restauration isolé et procédures d’autorisation.</w:t>
      </w:r>
    </w:p>
    <w:p>
      <w:pPr>
        <w:pStyle w:val="ListBullet"/>
      </w:pPr>
      <w:r>
        <w:t>Journal d’audit : recherche, filtres, lecture et export.</w:t>
      </w:r>
    </w:p>
    <w:p>
      <w:pPr>
        <w:pStyle w:val="ListBullet"/>
      </w:pPr>
      <w:r>
        <w:t>Qualification d’un incident et collecte des informations utiles.</w:t>
      </w:r>
    </w:p>
    <w:p>
      <w:pPr>
        <w:pStyle w:val="ListBullet"/>
      </w:pPr>
      <w:r>
        <w:t>Assistance de niveau 1, escalade et clôture documentée.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Mise en pratique : </w:t>
            </w:r>
            <w:r>
              <w:rPr>
                <w:rFonts w:ascii="Calibri" w:hAnsi="Calibri"/>
                <w:color w:val="26332F"/>
                <w:sz w:val="21"/>
              </w:rPr>
              <w:t>Contrôler les preuves d’une sauvegarde fictive, retrouver une action dans le journal puis rédiger une fiche d’incident complète.</w:t>
            </w:r>
          </w:p>
        </w:tc>
      </w:tr>
    </w:tbl>
    <w:p>
      <w:pPr>
        <w:spacing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EEF6F2"/>
          </w:tcPr>
          <w:p>
            <w:pPr>
              <w:spacing w:after="0"/>
            </w:pPr>
            <w:r>
              <w:rPr>
                <w:rFonts w:ascii="Calibri" w:hAnsi="Calibri"/>
                <w:b/>
                <w:color w:val="163D32"/>
                <w:sz w:val="21"/>
              </w:rPr>
              <w:t xml:space="preserve">Acquis attendu : </w:t>
            </w:r>
            <w:r>
              <w:rPr>
                <w:rFonts w:ascii="Calibri" w:hAnsi="Calibri"/>
                <w:color w:val="26332F"/>
                <w:sz w:val="21"/>
              </w:rPr>
              <w:t>Le participant sait vérifier les dispositifs de continuité et traiter une demande d’assistance de façon traçable.</w:t>
            </w:r>
          </w:p>
        </w:tc>
      </w:tr>
    </w:tbl>
    <w:p>
      <w:pPr>
        <w:spacing w:after="0"/>
      </w:pPr>
    </w:p>
    <w:p>
      <w:r>
        <w:br w:type="page"/>
      </w:r>
    </w:p>
    <w:p>
      <w:pPr>
        <w:pStyle w:val="Heading1"/>
      </w:pPr>
      <w:r>
        <w:t>6. Proposition de calendrier</w:t>
      </w:r>
    </w:p>
    <w:p>
      <w:r>
        <w:t>Le calendrier ci-dessous constitue une proposition intensive de cinq jours. Il peut être fractionné en sessions plus courtes selon les contraintes de service et les profils effectivement convoqués.</w:t>
      </w:r>
    </w:p>
    <w:tbl>
      <w:tblPr>
        <w:tblW w:type="dxa" w:w="9360"/>
        <w:tblLayout w:type="fixed"/>
        <w:tblLook w:firstColumn="1" w:firstRow="1" w:lastColumn="0" w:lastRow="0" w:noHBand="0" w:noVBand="1" w:val="04A0"/>
        <w:tblInd w:w="120" w:type="dxa"/>
      </w:tblPr>
      <w:tblGrid>
        <w:gridCol w:w="1200"/>
        <w:gridCol w:w="2460"/>
        <w:gridCol w:w="4740"/>
        <w:gridCol w:w="960"/>
      </w:tblGrid>
      <w:tr>
        <w:trPr>
          <w:tblHeader w:val="true"/>
        </w:trPr>
        <w:tc>
          <w:tcPr>
            <w:tcW w:type="dxa" w:w="120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Période</w:t>
            </w:r>
          </w:p>
        </w:tc>
        <w:tc>
          <w:tcPr>
            <w:tcW w:type="dxa" w:w="24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Modules</w:t>
            </w:r>
          </w:p>
        </w:tc>
        <w:tc>
          <w:tcPr>
            <w:tcW w:type="dxa" w:w="474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Dominante</w:t>
            </w:r>
          </w:p>
        </w:tc>
        <w:tc>
          <w:tcPr>
            <w:tcW w:type="dxa" w:w="9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087659"/>
          </w:tcPr>
          <w:p>
            <w:pPr>
              <w:jc w:val="center"/>
            </w:pPr>
            <w:r>
              <w:rPr>
                <w:rFonts w:ascii="Calibri" w:hAnsi="Calibri"/>
                <w:b/>
                <w:color w:val="FFFFFF"/>
                <w:sz w:val="18"/>
              </w:rPr>
              <w:t>Durée</w:t>
            </w:r>
          </w:p>
        </w:tc>
      </w:tr>
      <w:tr>
        <w:tc>
          <w:tcPr>
            <w:tcW w:type="dxa" w:w="12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8"/>
              </w:rPr>
              <w:t>Jour 1</w:t>
            </w:r>
          </w:p>
        </w:tc>
        <w:tc>
          <w:tcPr>
            <w:tcW w:type="dxa" w:w="24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Modules 1 à 4</w:t>
            </w:r>
          </w:p>
        </w:tc>
        <w:tc>
          <w:tcPr>
            <w:tcW w:type="dxa" w:w="474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Socle commun, sécurité, profil et registres</w:t>
            </w:r>
          </w:p>
        </w:tc>
        <w:tc>
          <w:tcPr>
            <w:tcW w:type="dxa" w:w="9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7 h</w:t>
            </w:r>
          </w:p>
        </w:tc>
      </w:tr>
      <w:tr>
        <w:tc>
          <w:tcPr>
            <w:tcW w:type="dxa" w:w="12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8"/>
              </w:rPr>
              <w:t>Jour 2</w:t>
            </w:r>
          </w:p>
        </w:tc>
        <w:tc>
          <w:tcPr>
            <w:tcW w:type="dxa" w:w="24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Modules 5 et 6 + révision</w:t>
            </w:r>
          </w:p>
        </w:tc>
        <w:tc>
          <w:tcPr>
            <w:tcW w:type="dxa" w:w="474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Certifications, campagnes, missions et collecte</w:t>
            </w:r>
          </w:p>
        </w:tc>
        <w:tc>
          <w:tcPr>
            <w:tcW w:type="dxa" w:w="9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7 h</w:t>
            </w:r>
          </w:p>
        </w:tc>
      </w:tr>
      <w:tr>
        <w:tc>
          <w:tcPr>
            <w:tcW w:type="dxa" w:w="12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8"/>
              </w:rPr>
              <w:t>Jour 3</w:t>
            </w:r>
          </w:p>
        </w:tc>
        <w:tc>
          <w:tcPr>
            <w:tcW w:type="dxa" w:w="24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Modules 7 et 8</w:t>
            </w:r>
          </w:p>
        </w:tc>
        <w:tc>
          <w:tcPr>
            <w:tcW w:type="dxa" w:w="474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Vérification, FUCCS, validation et BNEC</w:t>
            </w:r>
          </w:p>
        </w:tc>
        <w:tc>
          <w:tcPr>
            <w:tcW w:type="dxa" w:w="9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7 h</w:t>
            </w:r>
          </w:p>
        </w:tc>
      </w:tr>
      <w:tr>
        <w:tc>
          <w:tcPr>
            <w:tcW w:type="dxa" w:w="12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8"/>
              </w:rPr>
              <w:t>Jour 4</w:t>
            </w:r>
          </w:p>
        </w:tc>
        <w:tc>
          <w:tcPr>
            <w:tcW w:type="dxa" w:w="24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Modules 9 à 11</w:t>
            </w:r>
          </w:p>
        </w:tc>
        <w:tc>
          <w:tcPr>
            <w:tcW w:type="dxa" w:w="474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INFC/SNCC, veille, tableaux de bord et rapports</w:t>
            </w:r>
          </w:p>
        </w:tc>
        <w:tc>
          <w:tcPr>
            <w:tcW w:type="dxa" w:w="96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7 h</w:t>
            </w:r>
          </w:p>
        </w:tc>
      </w:tr>
      <w:tr>
        <w:tc>
          <w:tcPr>
            <w:tcW w:type="dxa" w:w="12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color w:val="26332F"/>
                <w:sz w:val="18"/>
              </w:rPr>
              <w:t>Jour 5</w:t>
            </w:r>
          </w:p>
        </w:tc>
        <w:tc>
          <w:tcPr>
            <w:tcW w:type="dxa" w:w="24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Modules 12 et 13 + évaluation</w:t>
            </w:r>
          </w:p>
        </w:tc>
        <w:tc>
          <w:tcPr>
            <w:tcW w:type="dxa" w:w="474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left"/>
            </w:pPr>
            <w:r>
              <w:rPr>
                <w:rFonts w:ascii="Calibri" w:hAnsi="Calibri"/>
                <w:b w:val="0"/>
                <w:color w:val="26332F"/>
                <w:sz w:val="18"/>
              </w:rPr>
              <w:t>Administration, continuité, audit et assistance</w:t>
            </w:r>
          </w:p>
        </w:tc>
        <w:tc>
          <w:tcPr>
            <w:tcW w:type="dxa" w:w="96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pPr>
              <w:jc w:val="center"/>
            </w:pPr>
            <w:r>
              <w:rPr>
                <w:rFonts w:ascii="Calibri" w:hAnsi="Calibri"/>
                <w:b w:val="0"/>
                <w:color w:val="26332F"/>
                <w:sz w:val="18"/>
              </w:rPr>
              <w:t>7 h</w:t>
            </w:r>
          </w:p>
        </w:tc>
      </w:tr>
    </w:tbl>
    <w:p>
      <w:pPr>
        <w:pStyle w:val="Heading1"/>
      </w:pPr>
      <w:r>
        <w:t>7. Évaluation des acquis</w:t>
      </w:r>
    </w:p>
    <w:p>
      <w:pPr>
        <w:pStyle w:val="ListBullet"/>
      </w:pPr>
      <w:r>
        <w:t>Questionnaire de positionnement au démarrage afin d’adapter les explications.</w:t>
      </w:r>
    </w:p>
    <w:p>
      <w:pPr>
        <w:pStyle w:val="ListBullet"/>
      </w:pPr>
      <w:r>
        <w:t>Observation des exercices et correction immédiate pendant chaque module.</w:t>
      </w:r>
    </w:p>
    <w:p>
      <w:pPr>
        <w:pStyle w:val="ListBullet"/>
      </w:pPr>
      <w:r>
        <w:t>Cas pratique transversal reproduisant le parcours d’une certification.</w:t>
      </w:r>
    </w:p>
    <w:p>
      <w:pPr>
        <w:pStyle w:val="ListBullet"/>
      </w:pPr>
      <w:r>
        <w:t>Évaluation finale des connaissances et des gestes opérationnels.</w:t>
      </w:r>
    </w:p>
    <w:p>
      <w:pPr>
        <w:pStyle w:val="ListBullet"/>
      </w:pPr>
      <w:r>
        <w:t>Seuil recommandé de validation : 70 %, avec reprise ciblée des compétences non acquises.</w:t>
      </w:r>
    </w:p>
    <w:p>
      <w:pPr>
        <w:pStyle w:val="Heading1"/>
      </w:pPr>
      <w:r>
        <w:t>8. Conditions de mise en œuvre</w:t>
      </w:r>
    </w:p>
    <w:tbl>
      <w:tblPr>
        <w:tblW w:type="dxa" w:w="9360"/>
        <w:tblLayout w:type="fixed"/>
        <w:tblLook w:firstColumn="1" w:firstRow="1" w:lastColumn="0" w:lastRow="0" w:noHBand="0" w:noVBand="1" w:val="04A0"/>
        <w:tblInd w:w="120" w:type="dxa"/>
      </w:tblPr>
      <w:tblGrid>
        <w:gridCol w:w="2160"/>
        <w:gridCol w:w="7200"/>
      </w:tblGrid>
      <w:tr>
        <w:tc>
          <w:tcPr>
            <w:tcW w:type="dxa" w:w="2160"/>
            <w:shd w:fill="EEF6F2"/>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b/>
                <w:color w:val="163D32"/>
                <w:sz w:val="19"/>
              </w:rPr>
              <w:t>Organisation</w:t>
            </w:r>
          </w:p>
        </w:tc>
        <w:tc>
          <w:tcPr>
            <w:tcW w:type="dxa" w:w="72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color w:val="26332F"/>
                <w:sz w:val="19"/>
              </w:rPr>
              <w:t>Groupes adaptés aux profils ; effectif recommandé de 10 à 15 participants pour les travaux pratiques.</w:t>
            </w:r>
          </w:p>
        </w:tc>
      </w:tr>
      <w:tr>
        <w:tc>
          <w:tcPr>
            <w:tcW w:type="dxa" w:w="2160"/>
            <w:shd w:fill="EEF6F2"/>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b/>
                <w:color w:val="163D32"/>
                <w:sz w:val="19"/>
              </w:rPr>
              <w:t>Environnement</w:t>
            </w:r>
          </w:p>
        </w:tc>
        <w:tc>
          <w:tcPr>
            <w:tcW w:type="dxa" w:w="72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color w:val="26332F"/>
                <w:sz w:val="19"/>
              </w:rPr>
              <w:t>Plateforme de formation distincte de la production, comptes de test et données strictement fictives ou anonymisées.</w:t>
            </w:r>
          </w:p>
        </w:tc>
      </w:tr>
      <w:tr>
        <w:tc>
          <w:tcPr>
            <w:tcW w:type="dxa" w:w="2160"/>
            <w:shd w:fill="EEF6F2"/>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b/>
                <w:color w:val="163D32"/>
                <w:sz w:val="19"/>
              </w:rPr>
              <w:t>Équipement</w:t>
            </w:r>
          </w:p>
        </w:tc>
        <w:tc>
          <w:tcPr>
            <w:tcW w:type="dxa" w:w="72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color w:val="26332F"/>
                <w:sz w:val="19"/>
              </w:rPr>
              <w:t>Un poste connecté par participant ou par binôme, vidéoprojecteur et accès réseau stable.</w:t>
            </w:r>
          </w:p>
        </w:tc>
      </w:tr>
      <w:tr>
        <w:tc>
          <w:tcPr>
            <w:tcW w:type="dxa" w:w="2160"/>
            <w:shd w:fill="EEF6F2"/>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b/>
                <w:color w:val="163D32"/>
                <w:sz w:val="19"/>
              </w:rPr>
              <w:t>Supports</w:t>
            </w:r>
          </w:p>
        </w:tc>
        <w:tc>
          <w:tcPr>
            <w:tcW w:type="dxa" w:w="72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color w:val="26332F"/>
                <w:sz w:val="19"/>
              </w:rPr>
              <w:t>Guide global d’utilisation SNGSC / HAUQE V2, fiches pratiques, jeux de données et scénarios d’exercice.</w:t>
            </w:r>
          </w:p>
        </w:tc>
      </w:tr>
      <w:tr>
        <w:tc>
          <w:tcPr>
            <w:tcW w:type="dxa" w:w="2160"/>
            <w:shd w:fill="EEF6F2"/>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b/>
                <w:color w:val="163D32"/>
                <w:sz w:val="19"/>
              </w:rPr>
              <w:t>Encadrement</w:t>
            </w:r>
          </w:p>
        </w:tc>
        <w:tc>
          <w:tcPr>
            <w:tcW w:type="dxa" w:w="7200"/>
            <w:shd w:fill="FFFFFF"/>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color w:val="26332F"/>
                <w:sz w:val="19"/>
              </w:rPr>
              <w:t>Un formateur fonctionnel ; appui d’un référent métier HAUQE et d’un référent technique pour les séquences spécialisées.</w:t>
            </w:r>
          </w:p>
        </w:tc>
      </w:tr>
      <w:tr>
        <w:tc>
          <w:tcPr>
            <w:tcW w:type="dxa" w:w="2160"/>
            <w:shd w:fill="EEF6F2"/>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b/>
                <w:color w:val="163D32"/>
                <w:sz w:val="19"/>
              </w:rPr>
              <w:t>Suivi</w:t>
            </w:r>
          </w:p>
        </w:tc>
        <w:tc>
          <w:tcPr>
            <w:tcW w:type="dxa" w:w="7200"/>
            <w:shd w:fill="F4F6F5"/>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tcPr>
          <w:p>
            <w:r>
              <w:rPr>
                <w:rFonts w:ascii="Calibri" w:hAnsi="Calibri"/>
                <w:color w:val="26332F"/>
                <w:sz w:val="19"/>
              </w:rPr>
              <w:t>Feuille de présence, résultats d’évaluation, liste des difficultés et plan d’accompagnement post-formation.</w:t>
            </w:r>
          </w:p>
        </w:tc>
      </w:tr>
    </w:tbl>
    <w:p>
      <w:pPr>
        <w:pStyle w:val="Heading1"/>
      </w:pPr>
      <w:r>
        <w:t>9. Validation proposée</w:t>
      </w:r>
    </w:p>
    <w:p>
      <w:r>
        <w:t>La HAUQE est invitée à valider la liste des modules, les profils participants, le calendrier et les modalités d’évaluation. Après validation, le programme pourra être décliné en supports de présentation, fiches d’exercices et feuilles d’évaluation par groupe.</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tcBorders>
              <w:top w:val="single" w:sz="6" w:color="C9D9D2"/>
              <w:start w:val="single" w:sz="6" w:color="C9D9D2"/>
              <w:bottom w:val="single" w:sz="6" w:color="C9D9D2"/>
              <w:end w:val="single" w:sz="6" w:color="C9D9D2"/>
              <w:insideH w:val="single" w:sz="6" w:color="C9D9D2"/>
              <w:insideV w:val="single" w:sz="6" w:color="C9D9D2"/>
            </w:tcBorders>
            <w:shd w:fill="FFF8E8"/>
          </w:tcPr>
          <w:p>
            <w:pPr>
              <w:spacing w:after="0"/>
            </w:pPr>
            <w:r>
              <w:rPr>
                <w:rFonts w:ascii="Calibri" w:hAnsi="Calibri"/>
                <w:b/>
                <w:color w:val="163D32"/>
                <w:sz w:val="21"/>
              </w:rPr>
              <w:t xml:space="preserve">Décision attendue : </w:t>
            </w:r>
            <w:r>
              <w:rPr>
                <w:rFonts w:ascii="Calibri" w:hAnsi="Calibri"/>
                <w:color w:val="26332F"/>
                <w:sz w:val="21"/>
              </w:rPr>
              <w:t>validation du programme de 13 modules et désignation des participants par parcours afin de planifier les sessions.</w:t>
            </w:r>
          </w:p>
        </w:tc>
      </w:tr>
    </w:tbl>
    <w:p>
      <w:pPr>
        <w:spacing w:after="0"/>
      </w:pPr>
    </w:p>
    <w:sectPr w:rsidR="00FC693F" w:rsidRPr="0006063C" w:rsidSect="00034616">
      <w:headerReference w:type="default" r:id="rId9"/>
      <w:footerReference w:type="default" r:id="rId10"/>
      <w:pgSz w:w="11906" w:h="16838"/>
      <w:pgMar w:top="1247" w:right="1304" w:bottom="1247" w:left="130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c>
        <w:tcPr>
          <w:tcW w:type="dxa" w:w="7200"/>
          <w:tcMar>
            <w:top w:w="90" w:type="dxa"/>
            <w:start w:w="120" w:type="dxa"/>
            <w:bottom w:w="90" w:type="dxa"/>
            <w:end w:w="120" w:type="dxa"/>
          </w:tcMar>
          <w:tcBorders>
            <w:top w:val="single" w:sz="0" w:color="FFFFFF"/>
            <w:start w:val="single" w:sz="0" w:color="FFFFFF"/>
            <w:bottom w:val="single" w:sz="0" w:color="FFFFFF"/>
            <w:end w:val="single" w:sz="0" w:color="FFFFFF"/>
            <w:insideH w:val="single" w:sz="0" w:color="FFFFFF"/>
            <w:insideV w:val="single" w:sz="0" w:color="FFFFFF"/>
          </w:tcBorders>
        </w:tcPr>
        <w:p>
          <w:pPr>
            <w:spacing w:after="0"/>
          </w:pPr>
          <w:r>
            <w:rPr>
              <w:rFonts w:ascii="Calibri" w:hAnsi="Calibri"/>
              <w:color w:val="60736C"/>
              <w:sz w:val="16"/>
            </w:rPr>
            <w:t>Document de travail - Version 1.0 - Août 2026</w:t>
          </w:r>
        </w:p>
      </w:tc>
      <w:tc>
        <w:tcPr>
          <w:tcW w:type="dxa" w:w="2160"/>
          <w:tcMar>
            <w:top w:w="90" w:type="dxa"/>
            <w:start w:w="120" w:type="dxa"/>
            <w:bottom w:w="90" w:type="dxa"/>
            <w:end w:w="120" w:type="dxa"/>
          </w:tcMar>
          <w:tcBorders>
            <w:top w:val="single" w:sz="0" w:color="FFFFFF"/>
            <w:start w:val="single" w:sz="0" w:color="FFFFFF"/>
            <w:bottom w:val="single" w:sz="0" w:color="FFFFFF"/>
            <w:end w:val="single" w:sz="0" w:color="FFFFFF"/>
            <w:insideH w:val="single" w:sz="0" w:color="FFFFFF"/>
            <w:insideV w:val="single" w:sz="0" w:color="FFFFFF"/>
          </w:tcBorders>
        </w:tcPr>
        <w:p>
          <w:pPr>
            <w:spacing w:after="0"/>
            <w:jc w:val="right"/>
          </w:pPr>
          <w:r>
            <w:rPr>
              <w:rFonts w:ascii="Calibri" w:hAnsi="Calibri"/>
              <w:color w:val="60736C"/>
              <w:sz w:val="16"/>
            </w:rP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0736C"/>
        <w:sz w:val="17"/>
      </w:rPr>
      <w:t>HAUQE  |  SNGSC - Programme de formation du personnel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633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8765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65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63D3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6073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color w:val="26332F"/>
      <w:sz w:val="21"/>
    </w:rPr>
  </w:style>
  <w:style w:type="paragraph" w:styleId="ListBullet2">
    <w:name w:val="List Bullet 2"/>
    <w:basedOn w:val="Normal"/>
    <w:uiPriority w:val="99"/>
    <w:unhideWhenUsed/>
    <w:rsid w:val="00326F90"/>
    <w:pPr>
      <w:numPr>
        <w:numId w:val="2"/>
      </w:numPr>
      <w:spacing w:after="80" w:line="290" w:lineRule="auto"/>
      <w:ind w:left="936" w:hanging="279"/>
      <w:contextualSpacing/>
    </w:pPr>
    <w:rPr>
      <w:rFonts w:ascii="Calibri" w:hAnsi="Calibri"/>
      <w:color w:val="26332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color w:val="26332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modules de formation du personnel - SNGSC / HAUQE Certif</dc:title>
  <dc:subject>Programme de formation du personnel</dc:subject>
  <dc:creator>HAUQE</dc:creator>
  <cp:keywords>SNGSC, HAUQE, formation, personnel, modules</cp:keywords>
  <dc:description>Document de travail soumis pour validation</dc:description>
  <cp:lastModifiedBy/>
  <cp:revision>1</cp:revision>
  <dcterms:created xsi:type="dcterms:W3CDTF">2013-12-23T23:15:00Z</dcterms:created>
  <dcterms:modified xsi:type="dcterms:W3CDTF">2013-12-23T23:15:00Z</dcterms:modified>
  <cp:category/>
</cp:coreProperties>
</file>