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p>
    <w:p>
      <w:pPr>
        <w:spacing w:after="320"/>
      </w:pPr>
    </w:p>
    <w:p>
      <w:pPr>
        <w:spacing w:after="320"/>
      </w:pPr>
    </w:p>
    <w:p>
      <w:pPr>
        <w:spacing w:after="240"/>
        <w:jc w:val="center"/>
      </w:pPr>
      <w:r>
        <w:rPr>
          <w:rFonts w:ascii="Calibri" w:hAnsi="Calibri"/>
          <w:b/>
          <w:color w:val="000000"/>
          <w:sz w:val="22"/>
        </w:rPr>
        <w:t>HAUTE AUTORITÉ DE LA QUALITÉ ET DE L’ENVIRONNEMENT</w:t>
      </w:r>
    </w:p>
    <w:p>
      <w:pPr>
        <w:pStyle w:val="Title"/>
        <w:jc w:val="center"/>
      </w:pPr>
      <w:r>
        <w:t>Proposition de modules de formation du personnel</w:t>
      </w:r>
    </w:p>
    <w:p>
      <w:pPr>
        <w:pStyle w:val="Subtitle"/>
        <w:jc w:val="center"/>
      </w:pPr>
      <w:r>
        <w:t>SNGSC / HAUQE Certif</w:t>
      </w:r>
    </w:p>
    <w:p>
      <w:pPr>
        <w:spacing w:after="560"/>
        <w:jc w:val="center"/>
      </w:pPr>
      <w:r>
        <w:rPr>
          <w:rFonts w:ascii="Calibri" w:hAnsi="Calibri"/>
          <w:i/>
          <w:color w:val="555555"/>
          <w:sz w:val="24"/>
        </w:rPr>
        <w:t>Programme opérationnel de prise en main, d’exploitation et d’administration</w:t>
      </w:r>
    </w:p>
    <w:tbl>
      <w:tblPr>
        <w:tblW w:type="dxa" w:w="9360"/>
        <w:tblLayout w:type="fixed"/>
        <w:tblLook w:firstColumn="1" w:firstRow="1" w:lastColumn="0" w:lastRow="0" w:noHBand="0" w:noVBand="1" w:val="04A0"/>
        <w:tblInd w:w="120" w:type="dxa"/>
      </w:tblPr>
      <w:tblGrid>
        <w:gridCol w:w="4680"/>
        <w:gridCol w:w="4680"/>
      </w:tblGrid>
      <w:tr>
        <w:tc>
          <w:tcPr>
            <w:tcW w:type="dxa" w:w="46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vAlign w:val="center"/>
          </w:tcPr>
          <w:p>
            <w:pPr>
              <w:spacing w:after="0"/>
              <w:jc w:val="center"/>
            </w:pPr>
            <w:r>
              <w:rPr>
                <w:rFonts w:ascii="Calibri" w:hAnsi="Calibri"/>
                <w:b/>
                <w:color w:val="000000"/>
                <w:sz w:val="23"/>
              </w:rPr>
              <w:t>3 jours</w:t>
            </w:r>
          </w:p>
        </w:tc>
        <w:tc>
          <w:tcPr>
            <w:tcW w:type="dxa" w:w="46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vAlign w:val="center"/>
          </w:tcPr>
          <w:p>
            <w:pPr>
              <w:spacing w:after="0"/>
              <w:jc w:val="center"/>
            </w:pPr>
            <w:r>
              <w:rPr>
                <w:rFonts w:ascii="Calibri" w:hAnsi="Calibri"/>
                <w:b/>
                <w:color w:val="000000"/>
                <w:sz w:val="23"/>
              </w:rPr>
              <w:t>Formation de tout le personnel</w:t>
            </w:r>
          </w:p>
        </w:tc>
      </w:tr>
      <w:tr>
        <w:tc>
          <w:tcPr>
            <w:tcW w:type="dxa" w:w="46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F5F5F5"/>
            <w:vAlign w:val="center"/>
          </w:tcPr>
          <w:p>
            <w:pPr>
              <w:spacing w:after="0"/>
              <w:jc w:val="center"/>
            </w:pPr>
            <w:r>
              <w:rPr>
                <w:rFonts w:ascii="Calibri" w:hAnsi="Calibri"/>
                <w:b/>
                <w:color w:val="000000"/>
                <w:sz w:val="23"/>
              </w:rPr>
              <w:t>1 jour d’évaluation</w:t>
            </w:r>
          </w:p>
        </w:tc>
        <w:tc>
          <w:tcPr>
            <w:tcW w:type="dxa" w:w="46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F5F5F5"/>
            <w:vAlign w:val="center"/>
          </w:tcPr>
          <w:p>
            <w:pPr>
              <w:spacing w:after="0"/>
              <w:jc w:val="center"/>
            </w:pPr>
            <w:r>
              <w:rPr>
                <w:rFonts w:ascii="Calibri" w:hAnsi="Calibri"/>
                <w:b/>
                <w:color w:val="000000"/>
                <w:sz w:val="23"/>
              </w:rPr>
              <w:t>1 jour de transfert de compétences</w:t>
            </w:r>
          </w:p>
        </w:tc>
      </w:tr>
    </w:tbl>
    <w:p>
      <w:pPr>
        <w:spacing w:after="560"/>
      </w:pPr>
    </w:p>
    <w:p>
      <w:pPr>
        <w:spacing w:after="80"/>
        <w:jc w:val="center"/>
      </w:pPr>
      <w:r>
        <w:rPr>
          <w:rFonts w:ascii="Calibri" w:hAnsi="Calibri"/>
          <w:b/>
          <w:color w:val="555555"/>
          <w:sz w:val="21"/>
        </w:rPr>
        <w:t>Document soumis pour validation</w:t>
      </w:r>
    </w:p>
    <w:p>
      <w:pPr>
        <w:spacing w:after="0"/>
        <w:jc w:val="center"/>
      </w:pPr>
      <w:r>
        <w:rPr>
          <w:rFonts w:ascii="Calibri" w:hAnsi="Calibri"/>
          <w:color w:val="555555"/>
          <w:sz w:val="20"/>
        </w:rPr>
        <w:t>Version 2.0 - Août 2026</w:t>
      </w:r>
    </w:p>
    <w:p>
      <w:r>
        <w:br w:type="page"/>
      </w:r>
    </w:p>
    <w:p>
      <w:pPr>
        <w:pStyle w:val="Heading1"/>
      </w:pPr>
      <w:r>
        <w:t>1. Objet de la proposition</w:t>
      </w:r>
    </w:p>
    <w:p>
      <w:r>
        <w:t>La présente proposition organise un dispositif de cinq jours consacré au Système national de gestion et de suivi des certifications (SNGSC / HAUQE Certif) : trois jours de formation de tout le personnel, un jour d’évaluation des acquis et un jour de transfert de compétences à l’administrateur choisi par la HAUQE.</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21"/>
              </w:rPr>
              <w:t xml:space="preserve">Résultat attendu : </w:t>
            </w:r>
            <w:r>
              <w:rPr>
                <w:rFonts w:ascii="Calibri" w:hAnsi="Calibri"/>
                <w:color w:val="111111"/>
                <w:sz w:val="21"/>
              </w:rPr>
              <w:t>à l’issue du dispositif, le personnel doit maîtriser les opérations correspondant à ses responsabilités et l’administrateur choisi par la HAUQE doit pouvoir assurer l’administration fonctionnelle courante, l’assistance de premier niveau et le suivi des opérations sensibles.</w:t>
            </w:r>
          </w:p>
        </w:tc>
      </w:tr>
    </w:tbl>
    <w:p>
      <w:pPr>
        <w:spacing w:after="0"/>
      </w:pPr>
    </w:p>
    <w:p>
      <w:pPr>
        <w:pStyle w:val="Heading1"/>
      </w:pPr>
      <w:r>
        <w:t>2. Principes pédagogiques</w:t>
      </w:r>
    </w:p>
    <w:p>
      <w:pPr>
        <w:pStyle w:val="ListBullet"/>
      </w:pPr>
      <w:r>
        <w:t>Approche pratique fondée sur des scénarios proches des activités réelles de la HAUQE.</w:t>
      </w:r>
    </w:p>
    <w:p>
      <w:pPr>
        <w:pStyle w:val="ListBullet"/>
      </w:pPr>
      <w:r>
        <w:t>Démonstration guidée, exercice individuel ou en binôme, puis correction collective.</w:t>
      </w:r>
    </w:p>
    <w:p>
      <w:pPr>
        <w:pStyle w:val="ListBullet"/>
      </w:pPr>
      <w:r>
        <w:t>Utilisation d’un environnement de formation et de données fictives ou anonymisées.</w:t>
      </w:r>
    </w:p>
    <w:p>
      <w:pPr>
        <w:pStyle w:val="ListBullet"/>
      </w:pPr>
      <w:r>
        <w:t>Adaptation des séquences aux rôles et aux permissions effectivement attribués.</w:t>
      </w:r>
    </w:p>
    <w:p>
      <w:pPr>
        <w:pStyle w:val="ListBullet"/>
      </w:pPr>
      <w:r>
        <w:t>Une journée distincte d’évaluation individuelle et pratique des acquis.</w:t>
      </w:r>
    </w:p>
    <w:p>
      <w:pPr>
        <w:pStyle w:val="ListBullet"/>
      </w:pPr>
      <w:r>
        <w:t>Une journée distincte de transfert de compétences à l’administrateur choisi par la HAUQE.</w:t>
      </w:r>
    </w:p>
    <w:p>
      <w:pPr>
        <w:pStyle w:val="Heading1"/>
      </w:pPr>
      <w:r>
        <w:t>3. Publics et parcours recommandés</w:t>
      </w:r>
    </w:p>
    <w:tbl>
      <w:tblPr>
        <w:tblW w:type="dxa" w:w="9360"/>
        <w:tblLayout w:type="fixed"/>
        <w:tblLook w:firstColumn="1" w:firstRow="1" w:lastColumn="0" w:lastRow="0" w:noHBand="0" w:noVBand="1" w:val="04A0"/>
        <w:tblInd w:w="120" w:type="dxa"/>
      </w:tblPr>
      <w:tblGrid>
        <w:gridCol w:w="2400"/>
        <w:gridCol w:w="3960"/>
        <w:gridCol w:w="3000"/>
      </w:tblGrid>
      <w:tr>
        <w:trPr>
          <w:tblHeader w:val="true"/>
        </w:trPr>
        <w:tc>
          <w:tcPr>
            <w:tcW w:type="dxa" w:w="240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000000"/>
          </w:tcPr>
          <w:p>
            <w:pPr>
              <w:jc w:val="center"/>
            </w:pPr>
            <w:r>
              <w:rPr>
                <w:rFonts w:ascii="Calibri" w:hAnsi="Calibri"/>
                <w:b/>
                <w:color w:val="FFFFFF"/>
                <w:sz w:val="19"/>
              </w:rPr>
              <w:t>Parcours</w:t>
            </w:r>
          </w:p>
        </w:tc>
        <w:tc>
          <w:tcPr>
            <w:tcW w:type="dxa" w:w="39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000000"/>
          </w:tcPr>
          <w:p>
            <w:pPr>
              <w:jc w:val="center"/>
            </w:pPr>
            <w:r>
              <w:rPr>
                <w:rFonts w:ascii="Calibri" w:hAnsi="Calibri"/>
                <w:b/>
                <w:color w:val="FFFFFF"/>
                <w:sz w:val="19"/>
              </w:rPr>
              <w:t>Profils concernés</w:t>
            </w:r>
          </w:p>
        </w:tc>
        <w:tc>
          <w:tcPr>
            <w:tcW w:type="dxa" w:w="300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000000"/>
          </w:tcPr>
          <w:p>
            <w:pPr>
              <w:jc w:val="center"/>
            </w:pPr>
            <w:r>
              <w:rPr>
                <w:rFonts w:ascii="Calibri" w:hAnsi="Calibri"/>
                <w:b/>
                <w:color w:val="FFFFFF"/>
                <w:sz w:val="19"/>
              </w:rPr>
              <w:t>Modules prioritaires</w:t>
            </w:r>
          </w:p>
        </w:tc>
      </w:tr>
      <w:tr>
        <w:tc>
          <w:tcPr>
            <w:tcW w:type="dxa" w:w="240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color w:val="111111"/>
                <w:sz w:val="18"/>
              </w:rPr>
              <w:t>Socle commun</w:t>
            </w:r>
          </w:p>
        </w:tc>
        <w:tc>
          <w:tcPr>
            <w:tcW w:type="dxa" w:w="396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111111"/>
                <w:sz w:val="18"/>
              </w:rPr>
              <w:t>Tout le personnel</w:t>
            </w:r>
          </w:p>
        </w:tc>
        <w:tc>
          <w:tcPr>
            <w:tcW w:type="dxa" w:w="300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111111"/>
                <w:sz w:val="18"/>
              </w:rPr>
              <w:t>Modules 1, 2 et 3</w:t>
            </w:r>
          </w:p>
        </w:tc>
      </w:tr>
      <w:tr>
        <w:tc>
          <w:tcPr>
            <w:tcW w:type="dxa" w:w="240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color w:val="111111"/>
                <w:sz w:val="18"/>
              </w:rPr>
              <w:t>Parcours opérationnel</w:t>
            </w:r>
          </w:p>
        </w:tc>
        <w:tc>
          <w:tcPr>
            <w:tcW w:type="dxa" w:w="396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111111"/>
                <w:sz w:val="18"/>
              </w:rPr>
              <w:t>Agents enquêteurs, vérificateurs et contrôleurs</w:t>
            </w:r>
          </w:p>
        </w:tc>
        <w:tc>
          <w:tcPr>
            <w:tcW w:type="dxa" w:w="300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111111"/>
                <w:sz w:val="18"/>
              </w:rPr>
              <w:t>Modules 4 à 7, 10 et 11</w:t>
            </w:r>
          </w:p>
        </w:tc>
      </w:tr>
      <w:tr>
        <w:tc>
          <w:tcPr>
            <w:tcW w:type="dxa" w:w="240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color w:val="111111"/>
                <w:sz w:val="18"/>
              </w:rPr>
              <w:t>Parcours validation et pilotage</w:t>
            </w:r>
          </w:p>
        </w:tc>
        <w:tc>
          <w:tcPr>
            <w:tcW w:type="dxa" w:w="396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111111"/>
                <w:sz w:val="18"/>
              </w:rPr>
              <w:t>Validateurs N1/N2, point focal BNEC, analystes et décideurs</w:t>
            </w:r>
          </w:p>
        </w:tc>
        <w:tc>
          <w:tcPr>
            <w:tcW w:type="dxa" w:w="300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111111"/>
                <w:sz w:val="18"/>
              </w:rPr>
              <w:t>Modules 5, 7 à 11</w:t>
            </w:r>
          </w:p>
        </w:tc>
      </w:tr>
      <w:tr>
        <w:tc>
          <w:tcPr>
            <w:tcW w:type="dxa" w:w="240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color w:val="111111"/>
                <w:sz w:val="18"/>
              </w:rPr>
              <w:t>Parcours administration</w:t>
            </w:r>
          </w:p>
        </w:tc>
        <w:tc>
          <w:tcPr>
            <w:tcW w:type="dxa" w:w="396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111111"/>
                <w:sz w:val="18"/>
              </w:rPr>
              <w:t>Administrateurs fonctionnels et système</w:t>
            </w:r>
          </w:p>
        </w:tc>
        <w:tc>
          <w:tcPr>
            <w:tcW w:type="dxa" w:w="300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111111"/>
                <w:sz w:val="18"/>
              </w:rPr>
              <w:t>Modules 2, 3, 11, 12 et 13</w:t>
            </w:r>
          </w:p>
        </w:tc>
      </w:tr>
      <w:tr>
        <w:tc>
          <w:tcPr>
            <w:tcW w:type="dxa" w:w="240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color w:val="111111"/>
                <w:sz w:val="18"/>
              </w:rPr>
              <w:t>Parcours veille et qualité</w:t>
            </w:r>
          </w:p>
        </w:tc>
        <w:tc>
          <w:tcPr>
            <w:tcW w:type="dxa" w:w="396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111111"/>
                <w:sz w:val="18"/>
              </w:rPr>
              <w:t>Cellule de veille, responsables qualité et auditeurs</w:t>
            </w:r>
          </w:p>
        </w:tc>
        <w:tc>
          <w:tcPr>
            <w:tcW w:type="dxa" w:w="300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111111"/>
                <w:sz w:val="18"/>
              </w:rPr>
              <w:t>Modules 8 à 11 et 13</w:t>
            </w:r>
          </w:p>
        </w:tc>
      </w:tr>
    </w:tbl>
    <w:p>
      <w:r>
        <w:br w:type="page"/>
      </w:r>
    </w:p>
    <w:p>
      <w:pPr>
        <w:pStyle w:val="Heading1"/>
      </w:pPr>
      <w:r>
        <w:t>4. Synthèse des modules</w:t>
      </w:r>
    </w:p>
    <w:p>
      <w:r>
        <w:t>Les 13 modules sont regroupés sur trois journées de formation destinées à tout le personnel, soit 21 heures indicatives. Une quatrième journée est réservée à l’évaluation du personnel et une cinquième journée au transfert de compétences à l’administrateur choisi par la HAUQE. Le dispositif complet représente cinq jours, soit 35 heures indicatives.</w:t>
      </w:r>
    </w:p>
    <w:tbl>
      <w:tblPr>
        <w:tblW w:type="dxa" w:w="9360"/>
        <w:tblLayout w:type="fixed"/>
        <w:tblLook w:firstColumn="1" w:firstRow="1" w:lastColumn="0" w:lastRow="0" w:noHBand="0" w:noVBand="1" w:val="04A0"/>
        <w:tblInd w:w="120" w:type="dxa"/>
      </w:tblPr>
      <w:tblGrid>
        <w:gridCol w:w="720"/>
        <w:gridCol w:w="4980"/>
        <w:gridCol w:w="1500"/>
        <w:gridCol w:w="2160"/>
      </w:tblGrid>
      <w:tr>
        <w:trPr>
          <w:tblHeader w:val="true"/>
        </w:trPr>
        <w:tc>
          <w:tcPr>
            <w:tcW w:type="dxa" w:w="72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000000"/>
          </w:tcPr>
          <w:p>
            <w:pPr>
              <w:jc w:val="center"/>
            </w:pPr>
            <w:r>
              <w:rPr>
                <w:rFonts w:ascii="Calibri" w:hAnsi="Calibri"/>
                <w:b/>
                <w:color w:val="FFFFFF"/>
                <w:sz w:val="18"/>
              </w:rPr>
              <w:t>N°</w:t>
            </w:r>
          </w:p>
        </w:tc>
        <w:tc>
          <w:tcPr>
            <w:tcW w:type="dxa" w:w="49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000000"/>
          </w:tcPr>
          <w:p>
            <w:pPr>
              <w:jc w:val="center"/>
            </w:pPr>
            <w:r>
              <w:rPr>
                <w:rFonts w:ascii="Calibri" w:hAnsi="Calibri"/>
                <w:b/>
                <w:color w:val="FFFFFF"/>
                <w:sz w:val="18"/>
              </w:rPr>
              <w:t>Module</w:t>
            </w:r>
          </w:p>
        </w:tc>
        <w:tc>
          <w:tcPr>
            <w:tcW w:type="dxa" w:w="150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000000"/>
          </w:tcPr>
          <w:p>
            <w:pPr>
              <w:jc w:val="center"/>
            </w:pPr>
            <w:r>
              <w:rPr>
                <w:rFonts w:ascii="Calibri" w:hAnsi="Calibri"/>
                <w:b/>
                <w:color w:val="FFFFFF"/>
                <w:sz w:val="18"/>
              </w:rPr>
              <w:t>Durée</w:t>
            </w:r>
          </w:p>
        </w:tc>
        <w:tc>
          <w:tcPr>
            <w:tcW w:type="dxa" w:w="21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000000"/>
          </w:tcPr>
          <w:p>
            <w:pPr>
              <w:jc w:val="center"/>
            </w:pPr>
            <w:r>
              <w:rPr>
                <w:rFonts w:ascii="Calibri" w:hAnsi="Calibri"/>
                <w:b/>
                <w:color w:val="FFFFFF"/>
                <w:sz w:val="18"/>
              </w:rPr>
              <w:t>Public principal</w:t>
            </w:r>
          </w:p>
        </w:tc>
      </w:tr>
      <w:tr>
        <w:tc>
          <w:tcPr>
            <w:tcW w:type="dxa" w:w="72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color w:val="111111"/>
                <w:sz w:val="17"/>
              </w:rPr>
              <w:t>1</w:t>
            </w:r>
          </w:p>
        </w:tc>
        <w:tc>
          <w:tcPr>
            <w:tcW w:type="dxa" w:w="498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111111"/>
                <w:sz w:val="17"/>
              </w:rPr>
              <w:t>Présentation générale du SNGSC / HAUQE Certif</w:t>
            </w:r>
          </w:p>
        </w:tc>
        <w:tc>
          <w:tcPr>
            <w:tcW w:type="dxa" w:w="150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111111"/>
                <w:sz w:val="17"/>
              </w:rPr>
              <w:t>1 h</w:t>
            </w:r>
          </w:p>
        </w:tc>
        <w:tc>
          <w:tcPr>
            <w:tcW w:type="dxa" w:w="216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111111"/>
                <w:sz w:val="17"/>
              </w:rPr>
              <w:t>Tous les participants</w:t>
            </w:r>
          </w:p>
        </w:tc>
      </w:tr>
      <w:tr>
        <w:tc>
          <w:tcPr>
            <w:tcW w:type="dxa" w:w="72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color w:val="111111"/>
                <w:sz w:val="17"/>
              </w:rPr>
              <w:t>2</w:t>
            </w:r>
          </w:p>
        </w:tc>
        <w:tc>
          <w:tcPr>
            <w:tcW w:type="dxa" w:w="498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111111"/>
                <w:sz w:val="17"/>
              </w:rPr>
              <w:t>Connexion, sécurité, MFA et gestion du mot de passe</w:t>
            </w:r>
          </w:p>
        </w:tc>
        <w:tc>
          <w:tcPr>
            <w:tcW w:type="dxa" w:w="150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111111"/>
                <w:sz w:val="17"/>
              </w:rPr>
              <w:t>2 h</w:t>
            </w:r>
          </w:p>
        </w:tc>
        <w:tc>
          <w:tcPr>
            <w:tcW w:type="dxa" w:w="216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111111"/>
                <w:sz w:val="17"/>
              </w:rPr>
              <w:t>Tous les utilisateurs</w:t>
            </w:r>
          </w:p>
        </w:tc>
      </w:tr>
      <w:tr>
        <w:tc>
          <w:tcPr>
            <w:tcW w:type="dxa" w:w="72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color w:val="111111"/>
                <w:sz w:val="17"/>
              </w:rPr>
              <w:t>3</w:t>
            </w:r>
          </w:p>
        </w:tc>
        <w:tc>
          <w:tcPr>
            <w:tcW w:type="dxa" w:w="498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111111"/>
                <w:sz w:val="17"/>
              </w:rPr>
              <w:t>Gestion du profil utilisateur</w:t>
            </w:r>
          </w:p>
        </w:tc>
        <w:tc>
          <w:tcPr>
            <w:tcW w:type="dxa" w:w="150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111111"/>
                <w:sz w:val="17"/>
              </w:rPr>
              <w:t>30 min</w:t>
            </w:r>
          </w:p>
        </w:tc>
        <w:tc>
          <w:tcPr>
            <w:tcW w:type="dxa" w:w="216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111111"/>
                <w:sz w:val="17"/>
              </w:rPr>
              <w:t>Tous les utilisateurs</w:t>
            </w:r>
          </w:p>
        </w:tc>
      </w:tr>
      <w:tr>
        <w:tc>
          <w:tcPr>
            <w:tcW w:type="dxa" w:w="72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color w:val="111111"/>
                <w:sz w:val="17"/>
              </w:rPr>
              <w:t>4</w:t>
            </w:r>
          </w:p>
        </w:tc>
        <w:tc>
          <w:tcPr>
            <w:tcW w:type="dxa" w:w="498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111111"/>
                <w:sz w:val="17"/>
              </w:rPr>
              <w:t>Gestion des entreprises et organismes certificateurs</w:t>
            </w:r>
          </w:p>
        </w:tc>
        <w:tc>
          <w:tcPr>
            <w:tcW w:type="dxa" w:w="150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111111"/>
                <w:sz w:val="17"/>
              </w:rPr>
              <w:t>1 h 30</w:t>
            </w:r>
          </w:p>
        </w:tc>
        <w:tc>
          <w:tcPr>
            <w:tcW w:type="dxa" w:w="216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111111"/>
                <w:sz w:val="17"/>
              </w:rPr>
              <w:t>Agents, vérificateurs, administrateurs fonctionnels</w:t>
            </w:r>
          </w:p>
        </w:tc>
      </w:tr>
      <w:tr>
        <w:tc>
          <w:tcPr>
            <w:tcW w:type="dxa" w:w="72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color w:val="111111"/>
                <w:sz w:val="17"/>
              </w:rPr>
              <w:t>5</w:t>
            </w:r>
          </w:p>
        </w:tc>
        <w:tc>
          <w:tcPr>
            <w:tcW w:type="dxa" w:w="498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111111"/>
                <w:sz w:val="17"/>
              </w:rPr>
              <w:t>Enregistrement et suivi des certifications</w:t>
            </w:r>
          </w:p>
        </w:tc>
        <w:tc>
          <w:tcPr>
            <w:tcW w:type="dxa" w:w="150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111111"/>
                <w:sz w:val="17"/>
              </w:rPr>
              <w:t>1 h 30</w:t>
            </w:r>
          </w:p>
        </w:tc>
        <w:tc>
          <w:tcPr>
            <w:tcW w:type="dxa" w:w="216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111111"/>
                <w:sz w:val="17"/>
              </w:rPr>
              <w:t>Agents, vérificateurs, responsables du suivi</w:t>
            </w:r>
          </w:p>
        </w:tc>
      </w:tr>
      <w:tr>
        <w:tc>
          <w:tcPr>
            <w:tcW w:type="dxa" w:w="72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color w:val="111111"/>
                <w:sz w:val="17"/>
              </w:rPr>
              <w:t>6</w:t>
            </w:r>
          </w:p>
        </w:tc>
        <w:tc>
          <w:tcPr>
            <w:tcW w:type="dxa" w:w="498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111111"/>
                <w:sz w:val="17"/>
              </w:rPr>
              <w:t>Campagnes, missions et collecte des données</w:t>
            </w:r>
          </w:p>
        </w:tc>
        <w:tc>
          <w:tcPr>
            <w:tcW w:type="dxa" w:w="150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111111"/>
                <w:sz w:val="17"/>
              </w:rPr>
              <w:t>2 h 30</w:t>
            </w:r>
          </w:p>
        </w:tc>
        <w:tc>
          <w:tcPr>
            <w:tcW w:type="dxa" w:w="216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111111"/>
                <w:sz w:val="17"/>
              </w:rPr>
              <w:t>Agents enquêteurs, coordonnateurs, responsables de collecte</w:t>
            </w:r>
          </w:p>
        </w:tc>
      </w:tr>
      <w:tr>
        <w:tc>
          <w:tcPr>
            <w:tcW w:type="dxa" w:w="72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color w:val="111111"/>
                <w:sz w:val="17"/>
              </w:rPr>
              <w:t>7</w:t>
            </w:r>
          </w:p>
        </w:tc>
        <w:tc>
          <w:tcPr>
            <w:tcW w:type="dxa" w:w="498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111111"/>
                <w:sz w:val="17"/>
              </w:rPr>
              <w:t>Vérification documentaire et contrôle FUCCS</w:t>
            </w:r>
          </w:p>
        </w:tc>
        <w:tc>
          <w:tcPr>
            <w:tcW w:type="dxa" w:w="150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111111"/>
                <w:sz w:val="17"/>
              </w:rPr>
              <w:t>2 h 30</w:t>
            </w:r>
          </w:p>
        </w:tc>
        <w:tc>
          <w:tcPr>
            <w:tcW w:type="dxa" w:w="216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111111"/>
                <w:sz w:val="17"/>
              </w:rPr>
              <w:t>Agents vérificateurs et contrôleurs</w:t>
            </w:r>
          </w:p>
        </w:tc>
      </w:tr>
      <w:tr>
        <w:tc>
          <w:tcPr>
            <w:tcW w:type="dxa" w:w="72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color w:val="111111"/>
                <w:sz w:val="17"/>
              </w:rPr>
              <w:t>8</w:t>
            </w:r>
          </w:p>
        </w:tc>
        <w:tc>
          <w:tcPr>
            <w:tcW w:type="dxa" w:w="498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111111"/>
                <w:sz w:val="17"/>
              </w:rPr>
              <w:t>Validation N1/N2 et intégration BNEC</w:t>
            </w:r>
          </w:p>
        </w:tc>
        <w:tc>
          <w:tcPr>
            <w:tcW w:type="dxa" w:w="150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111111"/>
                <w:sz w:val="17"/>
              </w:rPr>
              <w:t>2 h</w:t>
            </w:r>
          </w:p>
        </w:tc>
        <w:tc>
          <w:tcPr>
            <w:tcW w:type="dxa" w:w="216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111111"/>
                <w:sz w:val="17"/>
              </w:rPr>
              <w:t>Validateurs N1/N2, responsables techniques, point focal BNEC</w:t>
            </w:r>
          </w:p>
        </w:tc>
      </w:tr>
      <w:tr>
        <w:tc>
          <w:tcPr>
            <w:tcW w:type="dxa" w:w="72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color w:val="111111"/>
                <w:sz w:val="17"/>
              </w:rPr>
              <w:t>9</w:t>
            </w:r>
          </w:p>
        </w:tc>
        <w:tc>
          <w:tcPr>
            <w:tcW w:type="dxa" w:w="498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111111"/>
                <w:sz w:val="17"/>
              </w:rPr>
              <w:t>Calcul INFC et classement SNCC</w:t>
            </w:r>
          </w:p>
        </w:tc>
        <w:tc>
          <w:tcPr>
            <w:tcW w:type="dxa" w:w="150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111111"/>
                <w:sz w:val="17"/>
              </w:rPr>
              <w:t>2 h</w:t>
            </w:r>
          </w:p>
        </w:tc>
        <w:tc>
          <w:tcPr>
            <w:tcW w:type="dxa" w:w="216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111111"/>
                <w:sz w:val="17"/>
              </w:rPr>
              <w:t>Analystes, validateurs, décideurs et administrateurs fonctionnels</w:t>
            </w:r>
          </w:p>
        </w:tc>
      </w:tr>
      <w:tr>
        <w:tc>
          <w:tcPr>
            <w:tcW w:type="dxa" w:w="72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color w:val="111111"/>
                <w:sz w:val="17"/>
              </w:rPr>
              <w:t>10</w:t>
            </w:r>
          </w:p>
        </w:tc>
        <w:tc>
          <w:tcPr>
            <w:tcW w:type="dxa" w:w="498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111111"/>
                <w:sz w:val="17"/>
              </w:rPr>
              <w:t>Alertes, échéances et activités de veille</w:t>
            </w:r>
          </w:p>
        </w:tc>
        <w:tc>
          <w:tcPr>
            <w:tcW w:type="dxa" w:w="150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111111"/>
                <w:sz w:val="17"/>
              </w:rPr>
              <w:t>1 h 30</w:t>
            </w:r>
          </w:p>
        </w:tc>
        <w:tc>
          <w:tcPr>
            <w:tcW w:type="dxa" w:w="216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111111"/>
                <w:sz w:val="17"/>
              </w:rPr>
              <w:t>Cellule de veille, responsables du suivi, agents et décideurs</w:t>
            </w:r>
          </w:p>
        </w:tc>
      </w:tr>
      <w:tr>
        <w:tc>
          <w:tcPr>
            <w:tcW w:type="dxa" w:w="72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color w:val="111111"/>
                <w:sz w:val="17"/>
              </w:rPr>
              <w:t>11</w:t>
            </w:r>
          </w:p>
        </w:tc>
        <w:tc>
          <w:tcPr>
            <w:tcW w:type="dxa" w:w="498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111111"/>
                <w:sz w:val="17"/>
              </w:rPr>
              <w:t>Tableaux de bord, rapports et exportations</w:t>
            </w:r>
          </w:p>
        </w:tc>
        <w:tc>
          <w:tcPr>
            <w:tcW w:type="dxa" w:w="150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111111"/>
                <w:sz w:val="17"/>
              </w:rPr>
              <w:t>1 h 30</w:t>
            </w:r>
          </w:p>
        </w:tc>
        <w:tc>
          <w:tcPr>
            <w:tcW w:type="dxa" w:w="216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111111"/>
                <w:sz w:val="17"/>
              </w:rPr>
              <w:t>Agents, responsables, décideurs, profils de consultation</w:t>
            </w:r>
          </w:p>
        </w:tc>
      </w:tr>
      <w:tr>
        <w:tc>
          <w:tcPr>
            <w:tcW w:type="dxa" w:w="72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color w:val="111111"/>
                <w:sz w:val="17"/>
              </w:rPr>
              <w:t>12</w:t>
            </w:r>
          </w:p>
        </w:tc>
        <w:tc>
          <w:tcPr>
            <w:tcW w:type="dxa" w:w="498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111111"/>
                <w:sz w:val="17"/>
              </w:rPr>
              <w:t>Administration des utilisateurs et référentiels</w:t>
            </w:r>
          </w:p>
        </w:tc>
        <w:tc>
          <w:tcPr>
            <w:tcW w:type="dxa" w:w="150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111111"/>
                <w:sz w:val="17"/>
              </w:rPr>
              <w:t>1 h</w:t>
            </w:r>
          </w:p>
        </w:tc>
        <w:tc>
          <w:tcPr>
            <w:tcW w:type="dxa" w:w="216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111111"/>
                <w:sz w:val="17"/>
              </w:rPr>
              <w:t>Administrateurs fonctionnels et administrateurs système</w:t>
            </w:r>
          </w:p>
        </w:tc>
      </w:tr>
      <w:tr>
        <w:tc>
          <w:tcPr>
            <w:tcW w:type="dxa" w:w="72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color w:val="111111"/>
                <w:sz w:val="17"/>
              </w:rPr>
              <w:t>13</w:t>
            </w:r>
          </w:p>
        </w:tc>
        <w:tc>
          <w:tcPr>
            <w:tcW w:type="dxa" w:w="498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111111"/>
                <w:sz w:val="17"/>
              </w:rPr>
              <w:t>Sauvegarde, audit et assistance aux utilisateurs</w:t>
            </w:r>
          </w:p>
        </w:tc>
        <w:tc>
          <w:tcPr>
            <w:tcW w:type="dxa" w:w="150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111111"/>
                <w:sz w:val="17"/>
              </w:rPr>
              <w:t>1 h</w:t>
            </w:r>
          </w:p>
        </w:tc>
        <w:tc>
          <w:tcPr>
            <w:tcW w:type="dxa" w:w="216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111111"/>
                <w:sz w:val="17"/>
              </w:rPr>
              <w:t>Administrateurs, responsables qualité, auditeurs et relais d’assistance</w:t>
            </w:r>
          </w:p>
        </w:tc>
      </w:tr>
    </w:tbl>
    <w:p>
      <w:r>
        <w:br w:type="page"/>
      </w:r>
    </w:p>
    <w:p>
      <w:pPr>
        <w:pStyle w:val="Heading1"/>
      </w:pPr>
      <w:r>
        <w:t>5. Fiches détaillées des modules</w:t>
      </w:r>
    </w:p>
    <w:p>
      <w:r>
        <w:t>Chaque module combine des explications fonctionnelles, une démonstration dans l’application et une mise en pratique évaluée. Les exercices doivent être réalisés avec des comptes de formation correspondant aux rôles visés.</w:t>
      </w:r>
    </w:p>
    <w:p>
      <w:pPr>
        <w:pStyle w:val="Heading1"/>
      </w:pPr>
      <w:r>
        <w:t>Module 1 - Présentation générale du SNGSC / HAUQE Certif</w:t>
      </w:r>
    </w:p>
    <w:tbl>
      <w:tblPr>
        <w:tblW w:type="dxa" w:w="9360"/>
        <w:tblLayout w:type="fixed"/>
        <w:tblLook w:firstColumn="1" w:firstRow="1" w:lastColumn="0" w:lastRow="0" w:noHBand="0" w:noVBand="1" w:val="04A0"/>
        <w:tblInd w:w="120" w:type="dxa"/>
      </w:tblPr>
      <w:tblGrid>
        <w:gridCol w:w="2880"/>
        <w:gridCol w:w="6480"/>
      </w:tblGrid>
      <w:tr>
        <w:tc>
          <w:tcPr>
            <w:tcW w:type="dxa" w:w="28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Durée : </w:t>
            </w:r>
            <w:r>
              <w:rPr>
                <w:rFonts w:ascii="Calibri" w:hAnsi="Calibri"/>
                <w:color w:val="111111"/>
                <w:sz w:val="19"/>
              </w:rPr>
              <w:t>1 h</w:t>
            </w:r>
          </w:p>
        </w:tc>
        <w:tc>
          <w:tcPr>
            <w:tcW w:type="dxa" w:w="64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Public : </w:t>
            </w:r>
            <w:r>
              <w:rPr>
                <w:rFonts w:ascii="Calibri" w:hAnsi="Calibri"/>
                <w:color w:val="111111"/>
                <w:sz w:val="19"/>
              </w:rPr>
              <w:t>Tous les participants</w:t>
            </w:r>
          </w:p>
        </w:tc>
      </w:tr>
    </w:tbl>
    <w:p>
      <w:pPr>
        <w:pStyle w:val="Heading2"/>
      </w:pPr>
      <w:r>
        <w:t>Objectifs d’apprentissage</w:t>
      </w:r>
    </w:p>
    <w:p>
      <w:pPr>
        <w:pStyle w:val="ListBullet"/>
      </w:pPr>
      <w:r>
        <w:t>Comprendre la finalité, le périmètre et la gouvernance du SNGSC.</w:t>
      </w:r>
    </w:p>
    <w:p>
      <w:pPr>
        <w:pStyle w:val="ListBullet"/>
      </w:pPr>
      <w:r>
        <w:t>Situer chaque acteur dans le parcours national de suivi des certifications.</w:t>
      </w:r>
    </w:p>
    <w:p>
      <w:pPr>
        <w:pStyle w:val="Heading2"/>
      </w:pPr>
      <w:r>
        <w:t>Contenu essentiel</w:t>
      </w:r>
    </w:p>
    <w:p>
      <w:pPr>
        <w:pStyle w:val="ListBullet"/>
      </w:pPr>
      <w:r>
        <w:t>Missions de la HAUQE et objectifs du système.</w:t>
      </w:r>
    </w:p>
    <w:p>
      <w:pPr>
        <w:pStyle w:val="ListBullet"/>
      </w:pPr>
      <w:r>
        <w:t>Vue d’ensemble des modules et des profils utilisateurs.</w:t>
      </w:r>
    </w:p>
    <w:p>
      <w:pPr>
        <w:pStyle w:val="ListBullet"/>
      </w:pPr>
      <w:r>
        <w:t>Cycle métier : collecte, vérification, contrôle, validation, intégration BNEC, classement et veille.</w:t>
      </w:r>
    </w:p>
    <w:p>
      <w:pPr>
        <w:pStyle w:val="ListBullet"/>
      </w:pPr>
      <w:r>
        <w:t>Principes de confidentialité, de traçabilité et de qualité des données.</w:t>
      </w:r>
    </w:p>
    <w:p>
      <w:pPr>
        <w:pStyle w:val="ListBullet"/>
      </w:pPr>
      <w:r>
        <w:t>Navigation générale dans l’interface.</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F5F5F5"/>
          </w:tcPr>
          <w:p>
            <w:pPr>
              <w:spacing w:after="0"/>
            </w:pPr>
            <w:r>
              <w:rPr>
                <w:rFonts w:ascii="Calibri" w:hAnsi="Calibri"/>
                <w:b/>
                <w:color w:val="000000"/>
                <w:sz w:val="21"/>
              </w:rPr>
              <w:t xml:space="preserve">Mise en pratique : </w:t>
            </w:r>
            <w:r>
              <w:rPr>
                <w:rFonts w:ascii="Calibri" w:hAnsi="Calibri"/>
                <w:color w:val="111111"/>
                <w:sz w:val="21"/>
              </w:rPr>
              <w:t>Repérer, à partir d’un cas simple, les étapes du parcours d’une certification et les responsabilités associées.</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21"/>
              </w:rPr>
              <w:t xml:space="preserve">Acquis attendu : </w:t>
            </w:r>
            <w:r>
              <w:rPr>
                <w:rFonts w:ascii="Calibri" w:hAnsi="Calibri"/>
                <w:color w:val="111111"/>
                <w:sz w:val="21"/>
              </w:rPr>
              <w:t>Le participant comprend l’architecture fonctionnelle et sait identifier son périmètre d’intervention.</w:t>
            </w:r>
          </w:p>
        </w:tc>
      </w:tr>
    </w:tbl>
    <w:p>
      <w:pPr>
        <w:spacing w:after="0"/>
      </w:pPr>
    </w:p>
    <w:p>
      <w:r>
        <w:br w:type="page"/>
      </w:r>
    </w:p>
    <w:p>
      <w:pPr>
        <w:pStyle w:val="Heading1"/>
      </w:pPr>
      <w:r>
        <w:t>Module 2 - Connexion, sécurité, MFA et gestion du mot de passe</w:t>
      </w:r>
    </w:p>
    <w:tbl>
      <w:tblPr>
        <w:tblW w:type="dxa" w:w="9360"/>
        <w:tblLayout w:type="fixed"/>
        <w:tblLook w:firstColumn="1" w:firstRow="1" w:lastColumn="0" w:lastRow="0" w:noHBand="0" w:noVBand="1" w:val="04A0"/>
        <w:tblInd w:w="120" w:type="dxa"/>
      </w:tblPr>
      <w:tblGrid>
        <w:gridCol w:w="2880"/>
        <w:gridCol w:w="6480"/>
      </w:tblGrid>
      <w:tr>
        <w:tc>
          <w:tcPr>
            <w:tcW w:type="dxa" w:w="28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Durée : </w:t>
            </w:r>
            <w:r>
              <w:rPr>
                <w:rFonts w:ascii="Calibri" w:hAnsi="Calibri"/>
                <w:color w:val="111111"/>
                <w:sz w:val="19"/>
              </w:rPr>
              <w:t>2 h</w:t>
            </w:r>
          </w:p>
        </w:tc>
        <w:tc>
          <w:tcPr>
            <w:tcW w:type="dxa" w:w="64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Public : </w:t>
            </w:r>
            <w:r>
              <w:rPr>
                <w:rFonts w:ascii="Calibri" w:hAnsi="Calibri"/>
                <w:color w:val="111111"/>
                <w:sz w:val="19"/>
              </w:rPr>
              <w:t>Tous les utilisateurs</w:t>
            </w:r>
          </w:p>
        </w:tc>
      </w:tr>
    </w:tbl>
    <w:p>
      <w:pPr>
        <w:pStyle w:val="Heading2"/>
      </w:pPr>
      <w:r>
        <w:t>Objectifs d’apprentissage</w:t>
      </w:r>
    </w:p>
    <w:p>
      <w:pPr>
        <w:pStyle w:val="ListBullet"/>
      </w:pPr>
      <w:r>
        <w:t>Accéder au système de manière sécurisée et gérer les incidents courants de connexion.</w:t>
      </w:r>
    </w:p>
    <w:p>
      <w:pPr>
        <w:pStyle w:val="ListBullet"/>
      </w:pPr>
      <w:r>
        <w:t>Appliquer les règles HAUQE relatives aux sessions, au MFA et aux mots de passe.</w:t>
      </w:r>
    </w:p>
    <w:p>
      <w:pPr>
        <w:pStyle w:val="Heading2"/>
      </w:pPr>
      <w:r>
        <w:t>Contenu essentiel</w:t>
      </w:r>
    </w:p>
    <w:p>
      <w:pPr>
        <w:pStyle w:val="ListBullet"/>
      </w:pPr>
      <w:r>
        <w:t>Première connexion et changement du mot de passe temporaire.</w:t>
      </w:r>
    </w:p>
    <w:p>
      <w:pPr>
        <w:pStyle w:val="ListBullet"/>
      </w:pPr>
      <w:r>
        <w:t>Création d’un mot de passe robuste et interdiction de son partage.</w:t>
      </w:r>
    </w:p>
    <w:p>
      <w:pPr>
        <w:pStyle w:val="ListBullet"/>
      </w:pPr>
      <w:r>
        <w:t>Activation et utilisation de l’authentification multifacteur (MFA).</w:t>
      </w:r>
    </w:p>
    <w:p>
      <w:pPr>
        <w:pStyle w:val="ListBullet"/>
      </w:pPr>
      <w:r>
        <w:t>Mot de passe oublié, codes de récupération et verrouillage de session.</w:t>
      </w:r>
    </w:p>
    <w:p>
      <w:pPr>
        <w:pStyle w:val="ListBullet"/>
      </w:pPr>
      <w:r>
        <w:t>Expiration ou révocation de session et reconnexion sécurisée.</w:t>
      </w:r>
    </w:p>
    <w:p>
      <w:pPr>
        <w:pStyle w:val="ListBullet"/>
      </w:pPr>
      <w:r>
        <w:t>Reconnaissance des tentatives d’hameçonnage et signalement d’un incident.</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F5F5F5"/>
          </w:tcPr>
          <w:p>
            <w:pPr>
              <w:spacing w:after="0"/>
            </w:pPr>
            <w:r>
              <w:rPr>
                <w:rFonts w:ascii="Calibri" w:hAnsi="Calibri"/>
                <w:b/>
                <w:color w:val="000000"/>
                <w:sz w:val="21"/>
              </w:rPr>
              <w:t xml:space="preserve">Mise en pratique : </w:t>
            </w:r>
            <w:r>
              <w:rPr>
                <w:rFonts w:ascii="Calibri" w:hAnsi="Calibri"/>
                <w:color w:val="111111"/>
                <w:sz w:val="21"/>
              </w:rPr>
              <w:t>Réaliser une connexion, simuler un échec MFA, verrouiller la session puis exécuter un parcours de récupération contrôlé.</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21"/>
              </w:rPr>
              <w:t xml:space="preserve">Acquis attendu : </w:t>
            </w:r>
            <w:r>
              <w:rPr>
                <w:rFonts w:ascii="Calibri" w:hAnsi="Calibri"/>
                <w:color w:val="111111"/>
                <w:sz w:val="21"/>
              </w:rPr>
              <w:t>Le participant accède au système sans compromettre son compte et sait réagir aux principaux incidents d’authentification.</w:t>
            </w:r>
          </w:p>
        </w:tc>
      </w:tr>
    </w:tbl>
    <w:p>
      <w:pPr>
        <w:spacing w:after="0"/>
      </w:pPr>
    </w:p>
    <w:p>
      <w:r>
        <w:br w:type="page"/>
      </w:r>
    </w:p>
    <w:p>
      <w:pPr>
        <w:pStyle w:val="Heading1"/>
      </w:pPr>
      <w:r>
        <w:t>Module 3 - Gestion du profil utilisateur</w:t>
      </w:r>
    </w:p>
    <w:tbl>
      <w:tblPr>
        <w:tblW w:type="dxa" w:w="9360"/>
        <w:tblLayout w:type="fixed"/>
        <w:tblLook w:firstColumn="1" w:firstRow="1" w:lastColumn="0" w:lastRow="0" w:noHBand="0" w:noVBand="1" w:val="04A0"/>
        <w:tblInd w:w="120" w:type="dxa"/>
      </w:tblPr>
      <w:tblGrid>
        <w:gridCol w:w="2880"/>
        <w:gridCol w:w="6480"/>
      </w:tblGrid>
      <w:tr>
        <w:tc>
          <w:tcPr>
            <w:tcW w:type="dxa" w:w="28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Durée : </w:t>
            </w:r>
            <w:r>
              <w:rPr>
                <w:rFonts w:ascii="Calibri" w:hAnsi="Calibri"/>
                <w:color w:val="111111"/>
                <w:sz w:val="19"/>
              </w:rPr>
              <w:t>30 min</w:t>
            </w:r>
          </w:p>
        </w:tc>
        <w:tc>
          <w:tcPr>
            <w:tcW w:type="dxa" w:w="64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Public : </w:t>
            </w:r>
            <w:r>
              <w:rPr>
                <w:rFonts w:ascii="Calibri" w:hAnsi="Calibri"/>
                <w:color w:val="111111"/>
                <w:sz w:val="19"/>
              </w:rPr>
              <w:t>Tous les utilisateurs</w:t>
            </w:r>
          </w:p>
        </w:tc>
      </w:tr>
    </w:tbl>
    <w:p>
      <w:pPr>
        <w:pStyle w:val="Heading2"/>
      </w:pPr>
      <w:r>
        <w:t>Objectifs d’apprentissage</w:t>
      </w:r>
    </w:p>
    <w:p>
      <w:pPr>
        <w:pStyle w:val="ListBullet"/>
      </w:pPr>
      <w:r>
        <w:t>Maintenir à jour les informations de son profil.</w:t>
      </w:r>
    </w:p>
    <w:p>
      <w:pPr>
        <w:pStyle w:val="ListBullet"/>
      </w:pPr>
      <w:r>
        <w:t>Configurer ses préférences sans modifier ses habilitations.</w:t>
      </w:r>
    </w:p>
    <w:p>
      <w:pPr>
        <w:pStyle w:val="Heading2"/>
      </w:pPr>
      <w:r>
        <w:t>Contenu essentiel</w:t>
      </w:r>
    </w:p>
    <w:p>
      <w:pPr>
        <w:pStyle w:val="ListBullet"/>
      </w:pPr>
      <w:r>
        <w:t>Consultation et mise à jour des informations personnelles autorisées.</w:t>
      </w:r>
    </w:p>
    <w:p>
      <w:pPr>
        <w:pStyle w:val="ListBullet"/>
      </w:pPr>
      <w:r>
        <w:t>Photo de profil et affichage sur l’écran de verrouillage.</w:t>
      </w:r>
    </w:p>
    <w:p>
      <w:pPr>
        <w:pStyle w:val="ListBullet"/>
      </w:pPr>
      <w:r>
        <w:t>Préférences de notification et d’actualisation automatique.</w:t>
      </w:r>
    </w:p>
    <w:p>
      <w:pPr>
        <w:pStyle w:val="ListBullet"/>
      </w:pPr>
      <w:r>
        <w:t>Changement volontaire du mot de passe et conséquences sur les sessions actives.</w:t>
      </w:r>
    </w:p>
    <w:p>
      <w:pPr>
        <w:pStyle w:val="ListBullet"/>
      </w:pPr>
      <w:r>
        <w:t>Limites entre profil personnel, rôle et permissions administrées.</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F5F5F5"/>
          </w:tcPr>
          <w:p>
            <w:pPr>
              <w:spacing w:after="0"/>
            </w:pPr>
            <w:r>
              <w:rPr>
                <w:rFonts w:ascii="Calibri" w:hAnsi="Calibri"/>
                <w:b/>
                <w:color w:val="000000"/>
                <w:sz w:val="21"/>
              </w:rPr>
              <w:t xml:space="preserve">Mise en pratique : </w:t>
            </w:r>
            <w:r>
              <w:rPr>
                <w:rFonts w:ascii="Calibri" w:hAnsi="Calibri"/>
                <w:color w:val="111111"/>
                <w:sz w:val="21"/>
              </w:rPr>
              <w:t>Mettre à jour un profil de démonstration, régler les préférences et vérifier leur prise en compte.</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21"/>
              </w:rPr>
              <w:t xml:space="preserve">Acquis attendu : </w:t>
            </w:r>
            <w:r>
              <w:rPr>
                <w:rFonts w:ascii="Calibri" w:hAnsi="Calibri"/>
                <w:color w:val="111111"/>
                <w:sz w:val="21"/>
              </w:rPr>
              <w:t>Le participant sait personnaliser son compte tout en respectant les règles de sécurité.</w:t>
            </w:r>
          </w:p>
        </w:tc>
      </w:tr>
    </w:tbl>
    <w:p>
      <w:pPr>
        <w:spacing w:after="0"/>
      </w:pPr>
    </w:p>
    <w:p>
      <w:r>
        <w:br w:type="page"/>
      </w:r>
    </w:p>
    <w:p>
      <w:pPr>
        <w:pStyle w:val="Heading1"/>
      </w:pPr>
      <w:r>
        <w:t>Module 4 - Gestion des entreprises et organismes certificateurs</w:t>
      </w:r>
    </w:p>
    <w:tbl>
      <w:tblPr>
        <w:tblW w:type="dxa" w:w="9360"/>
        <w:tblLayout w:type="fixed"/>
        <w:tblLook w:firstColumn="1" w:firstRow="1" w:lastColumn="0" w:lastRow="0" w:noHBand="0" w:noVBand="1" w:val="04A0"/>
        <w:tblInd w:w="120" w:type="dxa"/>
      </w:tblPr>
      <w:tblGrid>
        <w:gridCol w:w="2880"/>
        <w:gridCol w:w="6480"/>
      </w:tblGrid>
      <w:tr>
        <w:tc>
          <w:tcPr>
            <w:tcW w:type="dxa" w:w="28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Durée : </w:t>
            </w:r>
            <w:r>
              <w:rPr>
                <w:rFonts w:ascii="Calibri" w:hAnsi="Calibri"/>
                <w:color w:val="111111"/>
                <w:sz w:val="19"/>
              </w:rPr>
              <w:t>1 h 30</w:t>
            </w:r>
          </w:p>
        </w:tc>
        <w:tc>
          <w:tcPr>
            <w:tcW w:type="dxa" w:w="64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Public : </w:t>
            </w:r>
            <w:r>
              <w:rPr>
                <w:rFonts w:ascii="Calibri" w:hAnsi="Calibri"/>
                <w:color w:val="111111"/>
                <w:sz w:val="19"/>
              </w:rPr>
              <w:t>Agents, vérificateurs, administrateurs fonctionnels</w:t>
            </w:r>
          </w:p>
        </w:tc>
      </w:tr>
    </w:tbl>
    <w:p>
      <w:pPr>
        <w:pStyle w:val="Heading2"/>
      </w:pPr>
      <w:r>
        <w:t>Objectifs d’apprentissage</w:t>
      </w:r>
    </w:p>
    <w:p>
      <w:pPr>
        <w:pStyle w:val="ListBullet"/>
      </w:pPr>
      <w:r>
        <w:t>Créer, rechercher, consulter et mettre à jour les dossiers des acteurs.</w:t>
      </w:r>
    </w:p>
    <w:p>
      <w:pPr>
        <w:pStyle w:val="ListBullet"/>
      </w:pPr>
      <w:r>
        <w:t>Prévenir les doublons et améliorer la qualité des données de référence.</w:t>
      </w:r>
    </w:p>
    <w:p>
      <w:pPr>
        <w:pStyle w:val="Heading2"/>
      </w:pPr>
      <w:r>
        <w:t>Contenu essentiel</w:t>
      </w:r>
    </w:p>
    <w:p>
      <w:pPr>
        <w:pStyle w:val="ListBullet"/>
      </w:pPr>
      <w:r>
        <w:t>Registre des entreprises : identité, RCCM, NIF, secteur, localisation et contacts.</w:t>
      </w:r>
    </w:p>
    <w:p>
      <w:pPr>
        <w:pStyle w:val="ListBullet"/>
      </w:pPr>
      <w:r>
        <w:t>Registre des organismes certificateurs et périmètres d’intervention.</w:t>
      </w:r>
    </w:p>
    <w:p>
      <w:pPr>
        <w:pStyle w:val="ListBullet"/>
      </w:pPr>
      <w:r>
        <w:t>Recherche, filtres, vues détail et historique.</w:t>
      </w:r>
    </w:p>
    <w:p>
      <w:pPr>
        <w:pStyle w:val="ListBullet"/>
      </w:pPr>
      <w:r>
        <w:t>Création et modification contrôlées des fiches.</w:t>
      </w:r>
    </w:p>
    <w:p>
      <w:pPr>
        <w:pStyle w:val="ListBullet"/>
      </w:pPr>
      <w:r>
        <w:t>Détection des doublons, pièces justificatives et règles de qualité.</w:t>
      </w:r>
    </w:p>
    <w:p>
      <w:pPr>
        <w:pStyle w:val="ListBullet"/>
      </w:pPr>
      <w:r>
        <w:t>Archivage et consultation selon les droits.</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F5F5F5"/>
          </w:tcPr>
          <w:p>
            <w:pPr>
              <w:spacing w:after="0"/>
            </w:pPr>
            <w:r>
              <w:rPr>
                <w:rFonts w:ascii="Calibri" w:hAnsi="Calibri"/>
                <w:b/>
                <w:color w:val="000000"/>
                <w:sz w:val="21"/>
              </w:rPr>
              <w:t xml:space="preserve">Mise en pratique : </w:t>
            </w:r>
            <w:r>
              <w:rPr>
                <w:rFonts w:ascii="Calibri" w:hAnsi="Calibri"/>
                <w:color w:val="111111"/>
                <w:sz w:val="21"/>
              </w:rPr>
              <w:t>Créer une entreprise et un organisme certificateur fictifs, puis corriger une anomalie de qualité détectée.</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21"/>
              </w:rPr>
              <w:t xml:space="preserve">Acquis attendu : </w:t>
            </w:r>
            <w:r>
              <w:rPr>
                <w:rFonts w:ascii="Calibri" w:hAnsi="Calibri"/>
                <w:color w:val="111111"/>
                <w:sz w:val="21"/>
              </w:rPr>
              <w:t>Le participant sait constituer un dossier acteur complet, cohérent et traçable.</w:t>
            </w:r>
          </w:p>
        </w:tc>
      </w:tr>
    </w:tbl>
    <w:p>
      <w:pPr>
        <w:spacing w:after="0"/>
      </w:pPr>
    </w:p>
    <w:p>
      <w:r>
        <w:br w:type="page"/>
      </w:r>
    </w:p>
    <w:p>
      <w:pPr>
        <w:pStyle w:val="Heading1"/>
      </w:pPr>
      <w:r>
        <w:t>Module 5 - Enregistrement et suivi des certifications</w:t>
      </w:r>
    </w:p>
    <w:tbl>
      <w:tblPr>
        <w:tblW w:type="dxa" w:w="9360"/>
        <w:tblLayout w:type="fixed"/>
        <w:tblLook w:firstColumn="1" w:firstRow="1" w:lastColumn="0" w:lastRow="0" w:noHBand="0" w:noVBand="1" w:val="04A0"/>
        <w:tblInd w:w="120" w:type="dxa"/>
      </w:tblPr>
      <w:tblGrid>
        <w:gridCol w:w="2880"/>
        <w:gridCol w:w="6480"/>
      </w:tblGrid>
      <w:tr>
        <w:tc>
          <w:tcPr>
            <w:tcW w:type="dxa" w:w="28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Durée : </w:t>
            </w:r>
            <w:r>
              <w:rPr>
                <w:rFonts w:ascii="Calibri" w:hAnsi="Calibri"/>
                <w:color w:val="111111"/>
                <w:sz w:val="19"/>
              </w:rPr>
              <w:t>1 h 30</w:t>
            </w:r>
          </w:p>
        </w:tc>
        <w:tc>
          <w:tcPr>
            <w:tcW w:type="dxa" w:w="64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Public : </w:t>
            </w:r>
            <w:r>
              <w:rPr>
                <w:rFonts w:ascii="Calibri" w:hAnsi="Calibri"/>
                <w:color w:val="111111"/>
                <w:sz w:val="19"/>
              </w:rPr>
              <w:t>Agents, vérificateurs, responsables du suivi</w:t>
            </w:r>
          </w:p>
        </w:tc>
      </w:tr>
    </w:tbl>
    <w:p>
      <w:pPr>
        <w:pStyle w:val="Heading2"/>
      </w:pPr>
      <w:r>
        <w:t>Objectifs d’apprentissage</w:t>
      </w:r>
    </w:p>
    <w:p>
      <w:pPr>
        <w:pStyle w:val="ListBullet"/>
      </w:pPr>
      <w:r>
        <w:t>Enregistrer correctement un certificat et ses informations essentielles.</w:t>
      </w:r>
    </w:p>
    <w:p>
      <w:pPr>
        <w:pStyle w:val="ListBullet"/>
      </w:pPr>
      <w:r>
        <w:t>Suivre sa validité, son statut et ses événements associés.</w:t>
      </w:r>
    </w:p>
    <w:p>
      <w:pPr>
        <w:pStyle w:val="Heading2"/>
      </w:pPr>
      <w:r>
        <w:t>Contenu essentiel</w:t>
      </w:r>
    </w:p>
    <w:p>
      <w:pPr>
        <w:pStyle w:val="ListBullet"/>
      </w:pPr>
      <w:r>
        <w:t>Identification du certificat, norme, portée et organisme émetteur.</w:t>
      </w:r>
    </w:p>
    <w:p>
      <w:pPr>
        <w:pStyle w:val="ListBullet"/>
      </w:pPr>
      <w:r>
        <w:t>Dates d’obtention, d’expiration et audits de surveillance.</w:t>
      </w:r>
    </w:p>
    <w:p>
      <w:pPr>
        <w:pStyle w:val="ListBullet"/>
      </w:pPr>
      <w:r>
        <w:t>Pièces justificatives et statut de vérification.</w:t>
      </w:r>
    </w:p>
    <w:p>
      <w:pPr>
        <w:pStyle w:val="ListBullet"/>
      </w:pPr>
      <w:r>
        <w:t>Association à l’entreprise titulaire et contrôle des incohérences.</w:t>
      </w:r>
    </w:p>
    <w:p>
      <w:pPr>
        <w:pStyle w:val="ListBullet"/>
      </w:pPr>
      <w:r>
        <w:t>Suivi des renouvellements, modifications et historiques.</w:t>
      </w:r>
    </w:p>
    <w:p>
      <w:pPr>
        <w:pStyle w:val="ListBullet"/>
      </w:pPr>
      <w:r>
        <w:t>Consultation du registre national et export selon habilitation.</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F5F5F5"/>
          </w:tcPr>
          <w:p>
            <w:pPr>
              <w:spacing w:after="0"/>
            </w:pPr>
            <w:r>
              <w:rPr>
                <w:rFonts w:ascii="Calibri" w:hAnsi="Calibri"/>
                <w:b/>
                <w:color w:val="000000"/>
                <w:sz w:val="21"/>
              </w:rPr>
              <w:t xml:space="preserve">Mise en pratique : </w:t>
            </w:r>
            <w:r>
              <w:rPr>
                <w:rFonts w:ascii="Calibri" w:hAnsi="Calibri"/>
                <w:color w:val="111111"/>
                <w:sz w:val="21"/>
              </w:rPr>
              <w:t>Enregistrer un certificat de démonstration, joindre ses preuves et identifier les prochaines échéances.</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21"/>
              </w:rPr>
              <w:t xml:space="preserve">Acquis attendu : </w:t>
            </w:r>
            <w:r>
              <w:rPr>
                <w:rFonts w:ascii="Calibri" w:hAnsi="Calibri"/>
                <w:color w:val="111111"/>
                <w:sz w:val="21"/>
              </w:rPr>
              <w:t>Le participant sait créer et maintenir une fiche de certification exploitable pour le suivi national.</w:t>
            </w:r>
          </w:p>
        </w:tc>
      </w:tr>
    </w:tbl>
    <w:p>
      <w:pPr>
        <w:spacing w:after="0"/>
      </w:pPr>
    </w:p>
    <w:p>
      <w:r>
        <w:br w:type="page"/>
      </w:r>
    </w:p>
    <w:p>
      <w:pPr>
        <w:pStyle w:val="Heading1"/>
      </w:pPr>
      <w:r>
        <w:t>Module 6 - Campagnes, missions et collecte des données</w:t>
      </w:r>
    </w:p>
    <w:tbl>
      <w:tblPr>
        <w:tblW w:type="dxa" w:w="9360"/>
        <w:tblLayout w:type="fixed"/>
        <w:tblLook w:firstColumn="1" w:firstRow="1" w:lastColumn="0" w:lastRow="0" w:noHBand="0" w:noVBand="1" w:val="04A0"/>
        <w:tblInd w:w="120" w:type="dxa"/>
      </w:tblPr>
      <w:tblGrid>
        <w:gridCol w:w="2880"/>
        <w:gridCol w:w="6480"/>
      </w:tblGrid>
      <w:tr>
        <w:tc>
          <w:tcPr>
            <w:tcW w:type="dxa" w:w="28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Durée : </w:t>
            </w:r>
            <w:r>
              <w:rPr>
                <w:rFonts w:ascii="Calibri" w:hAnsi="Calibri"/>
                <w:color w:val="111111"/>
                <w:sz w:val="19"/>
              </w:rPr>
              <w:t>2 h 30</w:t>
            </w:r>
          </w:p>
        </w:tc>
        <w:tc>
          <w:tcPr>
            <w:tcW w:type="dxa" w:w="64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Public : </w:t>
            </w:r>
            <w:r>
              <w:rPr>
                <w:rFonts w:ascii="Calibri" w:hAnsi="Calibri"/>
                <w:color w:val="111111"/>
                <w:sz w:val="19"/>
              </w:rPr>
              <w:t>Agents enquêteurs, coordonnateurs, responsables de collecte</w:t>
            </w:r>
          </w:p>
        </w:tc>
      </w:tr>
    </w:tbl>
    <w:p>
      <w:pPr>
        <w:pStyle w:val="Heading2"/>
      </w:pPr>
      <w:r>
        <w:t>Objectifs d’apprentissage</w:t>
      </w:r>
    </w:p>
    <w:p>
      <w:pPr>
        <w:pStyle w:val="ListBullet"/>
      </w:pPr>
      <w:r>
        <w:t>Préparer et exécuter une collecte structurée dans le cadre d’une mission.</w:t>
      </w:r>
    </w:p>
    <w:p>
      <w:pPr>
        <w:pStyle w:val="ListBullet"/>
      </w:pPr>
      <w:r>
        <w:t>Soumettre des données complètes accompagnées de leurs justificatifs.</w:t>
      </w:r>
    </w:p>
    <w:p>
      <w:pPr>
        <w:pStyle w:val="Heading2"/>
      </w:pPr>
      <w:r>
        <w:t>Contenu essentiel</w:t>
      </w:r>
    </w:p>
    <w:p>
      <w:pPr>
        <w:pStyle w:val="ListBullet"/>
      </w:pPr>
      <w:r>
        <w:t>Création et planification d’une campagne.</w:t>
      </w:r>
    </w:p>
    <w:p>
      <w:pPr>
        <w:pStyle w:val="ListBullet"/>
      </w:pPr>
      <w:r>
        <w:t>Déclinaison en missions, zones, responsables et calendrier.</w:t>
      </w:r>
    </w:p>
    <w:p>
      <w:pPr>
        <w:pStyle w:val="ListBullet"/>
      </w:pPr>
      <w:r>
        <w:t>Sélection du déclarant, de l’entreprise et du contexte de collecte.</w:t>
      </w:r>
    </w:p>
    <w:p>
      <w:pPr>
        <w:pStyle w:val="ListBullet"/>
      </w:pPr>
      <w:r>
        <w:t>Saisie des offres, certifications et situations déclarées.</w:t>
      </w:r>
    </w:p>
    <w:p>
      <w:pPr>
        <w:pStyle w:val="ListBullet"/>
      </w:pPr>
      <w:r>
        <w:t>Ajout, contrôle et retrait des justificatifs avant envoi.</w:t>
      </w:r>
    </w:p>
    <w:p>
      <w:pPr>
        <w:pStyle w:val="ListBullet"/>
      </w:pPr>
      <w:r>
        <w:t>Brouillon, contrôle de complétude, soumission et historique métier.</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F5F5F5"/>
          </w:tcPr>
          <w:p>
            <w:pPr>
              <w:spacing w:after="0"/>
            </w:pPr>
            <w:r>
              <w:rPr>
                <w:rFonts w:ascii="Calibri" w:hAnsi="Calibri"/>
                <w:b/>
                <w:color w:val="000000"/>
                <w:sz w:val="21"/>
              </w:rPr>
              <w:t xml:space="preserve">Mise en pratique : </w:t>
            </w:r>
            <w:r>
              <w:rPr>
                <w:rFonts w:ascii="Calibri" w:hAnsi="Calibri"/>
                <w:color w:val="111111"/>
                <w:sz w:val="21"/>
              </w:rPr>
              <w:t>Réaliser de bout en bout une collecte fictive, depuis la mission jusqu’à la soumission du dossier complet.</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21"/>
              </w:rPr>
              <w:t xml:space="preserve">Acquis attendu : </w:t>
            </w:r>
            <w:r>
              <w:rPr>
                <w:rFonts w:ascii="Calibri" w:hAnsi="Calibri"/>
                <w:color w:val="111111"/>
                <w:sz w:val="21"/>
              </w:rPr>
              <w:t>Le participant sait produire une collecte cohérente, documentée et prête pour vérification.</w:t>
            </w:r>
          </w:p>
        </w:tc>
      </w:tr>
    </w:tbl>
    <w:p>
      <w:pPr>
        <w:spacing w:after="0"/>
      </w:pPr>
    </w:p>
    <w:p>
      <w:r>
        <w:br w:type="page"/>
      </w:r>
    </w:p>
    <w:p>
      <w:pPr>
        <w:pStyle w:val="Heading1"/>
      </w:pPr>
      <w:r>
        <w:t>Module 7 - Vérification documentaire et contrôle FUCCS</w:t>
      </w:r>
    </w:p>
    <w:tbl>
      <w:tblPr>
        <w:tblW w:type="dxa" w:w="9360"/>
        <w:tblLayout w:type="fixed"/>
        <w:tblLook w:firstColumn="1" w:firstRow="1" w:lastColumn="0" w:lastRow="0" w:noHBand="0" w:noVBand="1" w:val="04A0"/>
        <w:tblInd w:w="120" w:type="dxa"/>
      </w:tblPr>
      <w:tblGrid>
        <w:gridCol w:w="2880"/>
        <w:gridCol w:w="6480"/>
      </w:tblGrid>
      <w:tr>
        <w:tc>
          <w:tcPr>
            <w:tcW w:type="dxa" w:w="28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Durée : </w:t>
            </w:r>
            <w:r>
              <w:rPr>
                <w:rFonts w:ascii="Calibri" w:hAnsi="Calibri"/>
                <w:color w:val="111111"/>
                <w:sz w:val="19"/>
              </w:rPr>
              <w:t>2 h 30</w:t>
            </w:r>
          </w:p>
        </w:tc>
        <w:tc>
          <w:tcPr>
            <w:tcW w:type="dxa" w:w="64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Public : </w:t>
            </w:r>
            <w:r>
              <w:rPr>
                <w:rFonts w:ascii="Calibri" w:hAnsi="Calibri"/>
                <w:color w:val="111111"/>
                <w:sz w:val="19"/>
              </w:rPr>
              <w:t>Agents vérificateurs et contrôleurs</w:t>
            </w:r>
          </w:p>
        </w:tc>
      </w:tr>
    </w:tbl>
    <w:p>
      <w:pPr>
        <w:pStyle w:val="Heading2"/>
      </w:pPr>
      <w:r>
        <w:t>Objectifs d’apprentissage</w:t>
      </w:r>
    </w:p>
    <w:p>
      <w:pPr>
        <w:pStyle w:val="ListBullet"/>
      </w:pPr>
      <w:r>
        <w:t>Évaluer la recevabilité et l’authenticité des pièces collectées.</w:t>
      </w:r>
    </w:p>
    <w:p>
      <w:pPr>
        <w:pStyle w:val="ListBullet"/>
      </w:pPr>
      <w:r>
        <w:t>Appliquer la grille FUCCS versionnée sans inventer de critères ni de seuils.</w:t>
      </w:r>
    </w:p>
    <w:p>
      <w:pPr>
        <w:pStyle w:val="Heading2"/>
      </w:pPr>
      <w:r>
        <w:t>Contenu essentiel</w:t>
      </w:r>
    </w:p>
    <w:p>
      <w:pPr>
        <w:pStyle w:val="ListBullet"/>
      </w:pPr>
      <w:r>
        <w:t>File de vérification et prise en charge d’un dossier.</w:t>
      </w:r>
    </w:p>
    <w:p>
      <w:pPr>
        <w:pStyle w:val="ListBullet"/>
      </w:pPr>
      <w:r>
        <w:t>Contrôles de présence, lisibilité, cohérence, authenticité et validité.</w:t>
      </w:r>
    </w:p>
    <w:p>
      <w:pPr>
        <w:pStyle w:val="ListBullet"/>
      </w:pPr>
      <w:r>
        <w:t>Constats, réserves, demandes de correction et preuves associées.</w:t>
      </w:r>
    </w:p>
    <w:p>
      <w:pPr>
        <w:pStyle w:val="ListBullet"/>
      </w:pPr>
      <w:r>
        <w:t>Passage de la vérification documentaire au contrôle.</w:t>
      </w:r>
    </w:p>
    <w:p>
      <w:pPr>
        <w:pStyle w:val="ListBullet"/>
      </w:pPr>
      <w:r>
        <w:t>Utilisation de la grille FUCCS chargée depuis le référentiel actif.</w:t>
      </w:r>
    </w:p>
    <w:p>
      <w:pPr>
        <w:pStyle w:val="ListBullet"/>
      </w:pPr>
      <w:r>
        <w:t>Calcul, justification du résultat et traçabilité de la décision.</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F5F5F5"/>
          </w:tcPr>
          <w:p>
            <w:pPr>
              <w:spacing w:after="0"/>
            </w:pPr>
            <w:r>
              <w:rPr>
                <w:rFonts w:ascii="Calibri" w:hAnsi="Calibri"/>
                <w:b/>
                <w:color w:val="000000"/>
                <w:sz w:val="21"/>
              </w:rPr>
              <w:t xml:space="preserve">Mise en pratique : </w:t>
            </w:r>
            <w:r>
              <w:rPr>
                <w:rFonts w:ascii="Calibri" w:hAnsi="Calibri"/>
                <w:color w:val="111111"/>
                <w:sz w:val="21"/>
              </w:rPr>
              <w:t>Examiner un dossier comportant plusieurs anomalies, formuler les constats et renseigner une grille FUCCS de démonstration.</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21"/>
              </w:rPr>
              <w:t xml:space="preserve">Acquis attendu : </w:t>
            </w:r>
            <w:r>
              <w:rPr>
                <w:rFonts w:ascii="Calibri" w:hAnsi="Calibri"/>
                <w:color w:val="111111"/>
                <w:sz w:val="21"/>
              </w:rPr>
              <w:t>Le participant sait documenter un contrôle reproductible et conforme à la règle versionnée.</w:t>
            </w:r>
          </w:p>
        </w:tc>
      </w:tr>
    </w:tbl>
    <w:p>
      <w:pPr>
        <w:spacing w:after="0"/>
      </w:pPr>
    </w:p>
    <w:p>
      <w:r>
        <w:br w:type="page"/>
      </w:r>
    </w:p>
    <w:p>
      <w:pPr>
        <w:pStyle w:val="Heading1"/>
      </w:pPr>
      <w:r>
        <w:t>Module 8 - Validation N1/N2 et intégration BNEC</w:t>
      </w:r>
    </w:p>
    <w:tbl>
      <w:tblPr>
        <w:tblW w:type="dxa" w:w="9360"/>
        <w:tblLayout w:type="fixed"/>
        <w:tblLook w:firstColumn="1" w:firstRow="1" w:lastColumn="0" w:lastRow="0" w:noHBand="0" w:noVBand="1" w:val="04A0"/>
        <w:tblInd w:w="120" w:type="dxa"/>
      </w:tblPr>
      <w:tblGrid>
        <w:gridCol w:w="2880"/>
        <w:gridCol w:w="6480"/>
      </w:tblGrid>
      <w:tr>
        <w:tc>
          <w:tcPr>
            <w:tcW w:type="dxa" w:w="28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Durée : </w:t>
            </w:r>
            <w:r>
              <w:rPr>
                <w:rFonts w:ascii="Calibri" w:hAnsi="Calibri"/>
                <w:color w:val="111111"/>
                <w:sz w:val="19"/>
              </w:rPr>
              <w:t>2 h</w:t>
            </w:r>
          </w:p>
        </w:tc>
        <w:tc>
          <w:tcPr>
            <w:tcW w:type="dxa" w:w="64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Public : </w:t>
            </w:r>
            <w:r>
              <w:rPr>
                <w:rFonts w:ascii="Calibri" w:hAnsi="Calibri"/>
                <w:color w:val="111111"/>
                <w:sz w:val="19"/>
              </w:rPr>
              <w:t>Validateurs N1/N2, responsables techniques, point focal BNEC</w:t>
            </w:r>
          </w:p>
        </w:tc>
      </w:tr>
    </w:tbl>
    <w:p>
      <w:pPr>
        <w:pStyle w:val="Heading2"/>
      </w:pPr>
      <w:r>
        <w:t>Objectifs d’apprentissage</w:t>
      </w:r>
    </w:p>
    <w:p>
      <w:pPr>
        <w:pStyle w:val="ListBullet"/>
      </w:pPr>
      <w:r>
        <w:t>Réaliser les validations successives dans le respect de la séparation des responsabilités.</w:t>
      </w:r>
    </w:p>
    <w:p>
      <w:pPr>
        <w:pStyle w:val="ListBullet"/>
      </w:pPr>
      <w:r>
        <w:t>Intégrer dans la BNEC uniquement les dossiers remplissant les conditions requises.</w:t>
      </w:r>
    </w:p>
    <w:p>
      <w:pPr>
        <w:pStyle w:val="Heading2"/>
      </w:pPr>
      <w:r>
        <w:t>Contenu essentiel</w:t>
      </w:r>
    </w:p>
    <w:p>
      <w:pPr>
        <w:pStyle w:val="ListBullet"/>
      </w:pPr>
      <w:r>
        <w:t>Lecture du dossier consolidé et des résultats de contrôle.</w:t>
      </w:r>
    </w:p>
    <w:p>
      <w:pPr>
        <w:pStyle w:val="ListBullet"/>
      </w:pPr>
      <w:r>
        <w:t>Validation de niveau 1, réserves et retour pour correction.</w:t>
      </w:r>
    </w:p>
    <w:p>
      <w:pPr>
        <w:pStyle w:val="ListBullet"/>
      </w:pPr>
      <w:r>
        <w:t>Validation de niveau 2 et décision technique finale.</w:t>
      </w:r>
    </w:p>
    <w:p>
      <w:pPr>
        <w:pStyle w:val="ListBullet"/>
      </w:pPr>
      <w:r>
        <w:t>Plan de codification et attribution du code national.</w:t>
      </w:r>
    </w:p>
    <w:p>
      <w:pPr>
        <w:pStyle w:val="ListBullet"/>
      </w:pPr>
      <w:r>
        <w:t>Intégration BNEC, contrôle qualité et historisation.</w:t>
      </w:r>
    </w:p>
    <w:p>
      <w:pPr>
        <w:pStyle w:val="ListBullet"/>
      </w:pPr>
      <w:r>
        <w:t>Création automatique des échéances et éléments de veille associés.</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F5F5F5"/>
          </w:tcPr>
          <w:p>
            <w:pPr>
              <w:spacing w:after="0"/>
            </w:pPr>
            <w:r>
              <w:rPr>
                <w:rFonts w:ascii="Calibri" w:hAnsi="Calibri"/>
                <w:b/>
                <w:color w:val="000000"/>
                <w:sz w:val="21"/>
              </w:rPr>
              <w:t xml:space="preserve">Mise en pratique : </w:t>
            </w:r>
            <w:r>
              <w:rPr>
                <w:rFonts w:ascii="Calibri" w:hAnsi="Calibri"/>
                <w:color w:val="111111"/>
                <w:sz w:val="21"/>
              </w:rPr>
              <w:t>Traiter un dossier depuis la validation N1 jusqu’à une intégration BNEC simulée, avec justification des décisions.</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21"/>
              </w:rPr>
              <w:t xml:space="preserve">Acquis attendu : </w:t>
            </w:r>
            <w:r>
              <w:rPr>
                <w:rFonts w:ascii="Calibri" w:hAnsi="Calibri"/>
                <w:color w:val="111111"/>
                <w:sz w:val="21"/>
              </w:rPr>
              <w:t>Le participant sait valider ou retourner un dossier et sécuriser son intégration dans la base nationale.</w:t>
            </w:r>
          </w:p>
        </w:tc>
      </w:tr>
    </w:tbl>
    <w:p>
      <w:pPr>
        <w:spacing w:after="0"/>
      </w:pPr>
    </w:p>
    <w:p>
      <w:r>
        <w:br w:type="page"/>
      </w:r>
    </w:p>
    <w:p>
      <w:pPr>
        <w:pStyle w:val="Heading1"/>
      </w:pPr>
      <w:r>
        <w:t>Module 9 - Calcul INFC et classement SNCC</w:t>
      </w:r>
    </w:p>
    <w:tbl>
      <w:tblPr>
        <w:tblW w:type="dxa" w:w="9360"/>
        <w:tblLayout w:type="fixed"/>
        <w:tblLook w:firstColumn="1" w:firstRow="1" w:lastColumn="0" w:lastRow="0" w:noHBand="0" w:noVBand="1" w:val="04A0"/>
        <w:tblInd w:w="120" w:type="dxa"/>
      </w:tblPr>
      <w:tblGrid>
        <w:gridCol w:w="2880"/>
        <w:gridCol w:w="6480"/>
      </w:tblGrid>
      <w:tr>
        <w:tc>
          <w:tcPr>
            <w:tcW w:type="dxa" w:w="28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Durée : </w:t>
            </w:r>
            <w:r>
              <w:rPr>
                <w:rFonts w:ascii="Calibri" w:hAnsi="Calibri"/>
                <w:color w:val="111111"/>
                <w:sz w:val="19"/>
              </w:rPr>
              <w:t>2 h</w:t>
            </w:r>
          </w:p>
        </w:tc>
        <w:tc>
          <w:tcPr>
            <w:tcW w:type="dxa" w:w="64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Public : </w:t>
            </w:r>
            <w:r>
              <w:rPr>
                <w:rFonts w:ascii="Calibri" w:hAnsi="Calibri"/>
                <w:color w:val="111111"/>
                <w:sz w:val="19"/>
              </w:rPr>
              <w:t>Analystes, validateurs, décideurs et administrateurs fonctionnels</w:t>
            </w:r>
          </w:p>
        </w:tc>
      </w:tr>
    </w:tbl>
    <w:p>
      <w:pPr>
        <w:pStyle w:val="Heading2"/>
      </w:pPr>
      <w:r>
        <w:t>Objectifs d’apprentissage</w:t>
      </w:r>
    </w:p>
    <w:p>
      <w:pPr>
        <w:pStyle w:val="ListBullet"/>
      </w:pPr>
      <w:r>
        <w:t>Interpréter le calcul de l’INFC selon le modèle publié.</w:t>
      </w:r>
    </w:p>
    <w:p>
      <w:pPr>
        <w:pStyle w:val="ListBullet"/>
      </w:pPr>
      <w:r>
        <w:t>Comprendre le classement SNCC et ses composantes sans substituer une appréciation personnelle aux règles validées.</w:t>
      </w:r>
    </w:p>
    <w:p>
      <w:pPr>
        <w:pStyle w:val="Heading2"/>
      </w:pPr>
      <w:r>
        <w:t>Contenu essentiel</w:t>
      </w:r>
    </w:p>
    <w:p>
      <w:pPr>
        <w:pStyle w:val="ListBullet"/>
      </w:pPr>
      <w:r>
        <w:t>Structure de l’INFC sur 100 points et domaines pondérés.</w:t>
      </w:r>
    </w:p>
    <w:p>
      <w:pPr>
        <w:pStyle w:val="ListBullet"/>
      </w:pPr>
      <w:r>
        <w:t>Conditions de calcul, données manquantes et statut du résultat.</w:t>
      </w:r>
    </w:p>
    <w:p>
      <w:pPr>
        <w:pStyle w:val="ListBullet"/>
      </w:pPr>
      <w:r>
        <w:t>Niveaux institutionnels paramétrés et blocage en leur absence.</w:t>
      </w:r>
    </w:p>
    <w:p>
      <w:pPr>
        <w:pStyle w:val="ListBullet"/>
      </w:pPr>
      <w:r>
        <w:t>Composantes du SNCC : conformité, statut administratif et risque.</w:t>
      </w:r>
    </w:p>
    <w:p>
      <w:pPr>
        <w:pStyle w:val="ListBullet"/>
      </w:pPr>
      <w:r>
        <w:t>Lecture des résultats individuels et agrégés.</w:t>
      </w:r>
    </w:p>
    <w:p>
      <w:pPr>
        <w:pStyle w:val="ListBullet"/>
      </w:pPr>
      <w:r>
        <w:t>Traçabilité, validation et limites d’interprétation.</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F5F5F5"/>
          </w:tcPr>
          <w:p>
            <w:pPr>
              <w:spacing w:after="0"/>
            </w:pPr>
            <w:r>
              <w:rPr>
                <w:rFonts w:ascii="Calibri" w:hAnsi="Calibri"/>
                <w:b/>
                <w:color w:val="000000"/>
                <w:sz w:val="21"/>
              </w:rPr>
              <w:t xml:space="preserve">Mise en pratique : </w:t>
            </w:r>
            <w:r>
              <w:rPr>
                <w:rFonts w:ascii="Calibri" w:hAnsi="Calibri"/>
                <w:color w:val="111111"/>
                <w:sz w:val="21"/>
              </w:rPr>
              <w:t>Analyser un cas chiffré, expliquer le score obtenu et déterminer si le résultat peut être validé ou doit rester calculé.</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21"/>
              </w:rPr>
              <w:t xml:space="preserve">Acquis attendu : </w:t>
            </w:r>
            <w:r>
              <w:rPr>
                <w:rFonts w:ascii="Calibri" w:hAnsi="Calibri"/>
                <w:color w:val="111111"/>
                <w:sz w:val="21"/>
              </w:rPr>
              <w:t>Le participant sait expliquer un résultat INFC/SNCC et identifier les conditions de sa validation.</w:t>
            </w:r>
          </w:p>
        </w:tc>
      </w:tr>
    </w:tbl>
    <w:p>
      <w:pPr>
        <w:spacing w:after="0"/>
      </w:pPr>
    </w:p>
    <w:p>
      <w:r>
        <w:br w:type="page"/>
      </w:r>
    </w:p>
    <w:p>
      <w:pPr>
        <w:pStyle w:val="Heading1"/>
      </w:pPr>
      <w:r>
        <w:t>Module 10 - Alertes, échéances et activités de veille</w:t>
      </w:r>
    </w:p>
    <w:tbl>
      <w:tblPr>
        <w:tblW w:type="dxa" w:w="9360"/>
        <w:tblLayout w:type="fixed"/>
        <w:tblLook w:firstColumn="1" w:firstRow="1" w:lastColumn="0" w:lastRow="0" w:noHBand="0" w:noVBand="1" w:val="04A0"/>
        <w:tblInd w:w="120" w:type="dxa"/>
      </w:tblPr>
      <w:tblGrid>
        <w:gridCol w:w="2880"/>
        <w:gridCol w:w="6480"/>
      </w:tblGrid>
      <w:tr>
        <w:tc>
          <w:tcPr>
            <w:tcW w:type="dxa" w:w="28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Durée : </w:t>
            </w:r>
            <w:r>
              <w:rPr>
                <w:rFonts w:ascii="Calibri" w:hAnsi="Calibri"/>
                <w:color w:val="111111"/>
                <w:sz w:val="19"/>
              </w:rPr>
              <w:t>1 h 30</w:t>
            </w:r>
          </w:p>
        </w:tc>
        <w:tc>
          <w:tcPr>
            <w:tcW w:type="dxa" w:w="64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Public : </w:t>
            </w:r>
            <w:r>
              <w:rPr>
                <w:rFonts w:ascii="Calibri" w:hAnsi="Calibri"/>
                <w:color w:val="111111"/>
                <w:sz w:val="19"/>
              </w:rPr>
              <w:t>Cellule de veille, responsables du suivi, agents et décideurs</w:t>
            </w:r>
          </w:p>
        </w:tc>
      </w:tr>
    </w:tbl>
    <w:p>
      <w:pPr>
        <w:pStyle w:val="Heading2"/>
      </w:pPr>
      <w:r>
        <w:t>Objectifs d’apprentissage</w:t>
      </w:r>
    </w:p>
    <w:p>
      <w:pPr>
        <w:pStyle w:val="ListBullet"/>
      </w:pPr>
      <w:r>
        <w:t>Prioriser et traiter les alertes et échéances selon leur niveau de risque.</w:t>
      </w:r>
    </w:p>
    <w:p>
      <w:pPr>
        <w:pStyle w:val="ListBullet"/>
      </w:pPr>
      <w:r>
        <w:t>Tracer les relances et activités de la Cellule de Veille des Certifications.</w:t>
      </w:r>
    </w:p>
    <w:p>
      <w:pPr>
        <w:pStyle w:val="Heading2"/>
      </w:pPr>
      <w:r>
        <w:t>Contenu essentiel</w:t>
      </w:r>
    </w:p>
    <w:p>
      <w:pPr>
        <w:pStyle w:val="ListBullet"/>
      </w:pPr>
      <w:r>
        <w:t>Seuils d’alerte : 180 jours, 90 jours, 30 jours et expiration.</w:t>
      </w:r>
    </w:p>
    <w:p>
      <w:pPr>
        <w:pStyle w:val="ListBullet"/>
      </w:pPr>
      <w:r>
        <w:t>Lecture, affectation, traitement et résolution des alertes.</w:t>
      </w:r>
    </w:p>
    <w:p>
      <w:pPr>
        <w:pStyle w:val="ListBullet"/>
      </w:pPr>
      <w:r>
        <w:t>Calendrier des échéances, filtres et responsables.</w:t>
      </w:r>
    </w:p>
    <w:p>
      <w:pPr>
        <w:pStyle w:val="ListBullet"/>
      </w:pPr>
      <w:r>
        <w:t>Dossiers de veille, relances et réponses externes.</w:t>
      </w:r>
    </w:p>
    <w:p>
      <w:pPr>
        <w:pStyle w:val="ListBullet"/>
      </w:pPr>
      <w:r>
        <w:t>Notifications internes et courriels institutionnels HAUQE.</w:t>
      </w:r>
    </w:p>
    <w:p>
      <w:pPr>
        <w:pStyle w:val="ListBullet"/>
      </w:pPr>
      <w:r>
        <w:t>Notes mensuelles, rapports trimestriels et preuve des actions.</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F5F5F5"/>
          </w:tcPr>
          <w:p>
            <w:pPr>
              <w:spacing w:after="0"/>
            </w:pPr>
            <w:r>
              <w:rPr>
                <w:rFonts w:ascii="Calibri" w:hAnsi="Calibri"/>
                <w:b/>
                <w:color w:val="000000"/>
                <w:sz w:val="21"/>
              </w:rPr>
              <w:t xml:space="preserve">Mise en pratique : </w:t>
            </w:r>
            <w:r>
              <w:rPr>
                <w:rFonts w:ascii="Calibri" w:hAnsi="Calibri"/>
                <w:color w:val="111111"/>
                <w:sz w:val="21"/>
              </w:rPr>
              <w:t>Qualifier une alerte critique, l’affecter, enregistrer une relance puis documenter sa résolution.</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21"/>
              </w:rPr>
              <w:t xml:space="preserve">Acquis attendu : </w:t>
            </w:r>
            <w:r>
              <w:rPr>
                <w:rFonts w:ascii="Calibri" w:hAnsi="Calibri"/>
                <w:color w:val="111111"/>
                <w:sz w:val="21"/>
              </w:rPr>
              <w:t>Le participant sait organiser un suivi proactif et conserver la preuve de chaque action.</w:t>
            </w:r>
          </w:p>
        </w:tc>
      </w:tr>
    </w:tbl>
    <w:p>
      <w:pPr>
        <w:spacing w:after="0"/>
      </w:pPr>
    </w:p>
    <w:p>
      <w:r>
        <w:br w:type="page"/>
      </w:r>
    </w:p>
    <w:p>
      <w:pPr>
        <w:pStyle w:val="Heading1"/>
      </w:pPr>
      <w:r>
        <w:t>Module 11 - Tableaux de bord, rapports et exportations</w:t>
      </w:r>
    </w:p>
    <w:tbl>
      <w:tblPr>
        <w:tblW w:type="dxa" w:w="9360"/>
        <w:tblLayout w:type="fixed"/>
        <w:tblLook w:firstColumn="1" w:firstRow="1" w:lastColumn="0" w:lastRow="0" w:noHBand="0" w:noVBand="1" w:val="04A0"/>
        <w:tblInd w:w="120" w:type="dxa"/>
      </w:tblPr>
      <w:tblGrid>
        <w:gridCol w:w="2880"/>
        <w:gridCol w:w="6480"/>
      </w:tblGrid>
      <w:tr>
        <w:tc>
          <w:tcPr>
            <w:tcW w:type="dxa" w:w="28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Durée : </w:t>
            </w:r>
            <w:r>
              <w:rPr>
                <w:rFonts w:ascii="Calibri" w:hAnsi="Calibri"/>
                <w:color w:val="111111"/>
                <w:sz w:val="19"/>
              </w:rPr>
              <w:t>1 h 30</w:t>
            </w:r>
          </w:p>
        </w:tc>
        <w:tc>
          <w:tcPr>
            <w:tcW w:type="dxa" w:w="64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Public : </w:t>
            </w:r>
            <w:r>
              <w:rPr>
                <w:rFonts w:ascii="Calibri" w:hAnsi="Calibri"/>
                <w:color w:val="111111"/>
                <w:sz w:val="19"/>
              </w:rPr>
              <w:t>Agents, responsables, décideurs, profils de consultation</w:t>
            </w:r>
          </w:p>
        </w:tc>
      </w:tr>
    </w:tbl>
    <w:p>
      <w:pPr>
        <w:pStyle w:val="Heading2"/>
      </w:pPr>
      <w:r>
        <w:t>Objectifs d’apprentissage</w:t>
      </w:r>
    </w:p>
    <w:p>
      <w:pPr>
        <w:pStyle w:val="ListBullet"/>
      </w:pPr>
      <w:r>
        <w:t>Choisir le tableau de bord adapté au niveau de pilotage.</w:t>
      </w:r>
    </w:p>
    <w:p>
      <w:pPr>
        <w:pStyle w:val="ListBullet"/>
      </w:pPr>
      <w:r>
        <w:t>Produire et interpréter des rapports ou exports dans le respect des droits et de la confidentialité.</w:t>
      </w:r>
    </w:p>
    <w:p>
      <w:pPr>
        <w:pStyle w:val="Heading2"/>
      </w:pPr>
      <w:r>
        <w:t>Contenu essentiel</w:t>
      </w:r>
    </w:p>
    <w:p>
      <w:pPr>
        <w:pStyle w:val="ListBullet"/>
      </w:pPr>
      <w:r>
        <w:t>Tableaux de bord opérationnel, tactique, stratégique, annuel et public.</w:t>
      </w:r>
    </w:p>
    <w:p>
      <w:pPr>
        <w:pStyle w:val="ListBullet"/>
      </w:pPr>
      <w:r>
        <w:t>Indicateurs, filtres, périodes et périmètres autorisés.</w:t>
      </w:r>
    </w:p>
    <w:p>
      <w:pPr>
        <w:pStyle w:val="ListBullet"/>
      </w:pPr>
      <w:r>
        <w:t>Lecture des tendances, risques et actions prioritaires.</w:t>
      </w:r>
    </w:p>
    <w:p>
      <w:pPr>
        <w:pStyle w:val="ListBullet"/>
      </w:pPr>
      <w:r>
        <w:t>Production de rapports PDF, Excel ou CSV.</w:t>
      </w:r>
    </w:p>
    <w:p>
      <w:pPr>
        <w:pStyle w:val="ListBullet"/>
      </w:pPr>
      <w:r>
        <w:t>Contrôle des données avant diffusion.</w:t>
      </w:r>
    </w:p>
    <w:p>
      <w:pPr>
        <w:pStyle w:val="ListBullet"/>
      </w:pPr>
      <w:r>
        <w:t>Règles spécifiques aux données publiques agrégées.</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F5F5F5"/>
          </w:tcPr>
          <w:p>
            <w:pPr>
              <w:spacing w:after="0"/>
            </w:pPr>
            <w:r>
              <w:rPr>
                <w:rFonts w:ascii="Calibri" w:hAnsi="Calibri"/>
                <w:b/>
                <w:color w:val="000000"/>
                <w:sz w:val="21"/>
              </w:rPr>
              <w:t xml:space="preserve">Mise en pratique : </w:t>
            </w:r>
            <w:r>
              <w:rPr>
                <w:rFonts w:ascii="Calibri" w:hAnsi="Calibri"/>
                <w:color w:val="111111"/>
                <w:sz w:val="21"/>
              </w:rPr>
              <w:t>Construire une lecture commentée d’un tableau de bord et produire un export adapté à un destinataire donné.</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21"/>
              </w:rPr>
              <w:t xml:space="preserve">Acquis attendu : </w:t>
            </w:r>
            <w:r>
              <w:rPr>
                <w:rFonts w:ascii="Calibri" w:hAnsi="Calibri"/>
                <w:color w:val="111111"/>
                <w:sz w:val="21"/>
              </w:rPr>
              <w:t>Le participant sait transformer les données autorisées en information utile au pilotage.</w:t>
            </w:r>
          </w:p>
        </w:tc>
      </w:tr>
    </w:tbl>
    <w:p>
      <w:pPr>
        <w:spacing w:after="0"/>
      </w:pPr>
    </w:p>
    <w:p>
      <w:r>
        <w:br w:type="page"/>
      </w:r>
    </w:p>
    <w:p>
      <w:pPr>
        <w:pStyle w:val="Heading1"/>
      </w:pPr>
      <w:r>
        <w:t>Module 12 - Administration des utilisateurs et référentiels</w:t>
      </w:r>
    </w:p>
    <w:tbl>
      <w:tblPr>
        <w:tblW w:type="dxa" w:w="9360"/>
        <w:tblLayout w:type="fixed"/>
        <w:tblLook w:firstColumn="1" w:firstRow="1" w:lastColumn="0" w:lastRow="0" w:noHBand="0" w:noVBand="1" w:val="04A0"/>
        <w:tblInd w:w="120" w:type="dxa"/>
      </w:tblPr>
      <w:tblGrid>
        <w:gridCol w:w="2880"/>
        <w:gridCol w:w="6480"/>
      </w:tblGrid>
      <w:tr>
        <w:tc>
          <w:tcPr>
            <w:tcW w:type="dxa" w:w="28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Durée : </w:t>
            </w:r>
            <w:r>
              <w:rPr>
                <w:rFonts w:ascii="Calibri" w:hAnsi="Calibri"/>
                <w:color w:val="111111"/>
                <w:sz w:val="19"/>
              </w:rPr>
              <w:t>1 h</w:t>
            </w:r>
          </w:p>
        </w:tc>
        <w:tc>
          <w:tcPr>
            <w:tcW w:type="dxa" w:w="64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Public : </w:t>
            </w:r>
            <w:r>
              <w:rPr>
                <w:rFonts w:ascii="Calibri" w:hAnsi="Calibri"/>
                <w:color w:val="111111"/>
                <w:sz w:val="19"/>
              </w:rPr>
              <w:t>Administrateurs fonctionnels et administrateurs système</w:t>
            </w:r>
          </w:p>
        </w:tc>
      </w:tr>
    </w:tbl>
    <w:p>
      <w:pPr>
        <w:pStyle w:val="Heading2"/>
      </w:pPr>
      <w:r>
        <w:t>Objectifs d’apprentissage</w:t>
      </w:r>
    </w:p>
    <w:p>
      <w:pPr>
        <w:pStyle w:val="ListBullet"/>
      </w:pPr>
      <w:r>
        <w:t>Administrer les comptes selon le principe du moindre privilège.</w:t>
      </w:r>
    </w:p>
    <w:p>
      <w:pPr>
        <w:pStyle w:val="ListBullet"/>
      </w:pPr>
      <w:r>
        <w:t>Gérer les référentiels et règles versionnées sans altérer l’historique métier.</w:t>
      </w:r>
    </w:p>
    <w:p>
      <w:pPr>
        <w:pStyle w:val="Heading2"/>
      </w:pPr>
      <w:r>
        <w:t>Contenu essentiel</w:t>
      </w:r>
    </w:p>
    <w:p>
      <w:pPr>
        <w:pStyle w:val="ListBullet"/>
      </w:pPr>
      <w:r>
        <w:t>Création, activation, suspension et désactivation des comptes.</w:t>
      </w:r>
    </w:p>
    <w:p>
      <w:pPr>
        <w:pStyle w:val="ListBullet"/>
      </w:pPr>
      <w:r>
        <w:t>Rôles, permissions, périmètres et séparation des responsabilités.</w:t>
      </w:r>
    </w:p>
    <w:p>
      <w:pPr>
        <w:pStyle w:val="ListBullet"/>
      </w:pPr>
      <w:r>
        <w:t>Réinitialisation contrôlée des accès et accompagnement des utilisateurs.</w:t>
      </w:r>
    </w:p>
    <w:p>
      <w:pPr>
        <w:pStyle w:val="ListBullet"/>
      </w:pPr>
      <w:r>
        <w:t>Gestion des zones, types, normes et autres référentiels.</w:t>
      </w:r>
    </w:p>
    <w:p>
      <w:pPr>
        <w:pStyle w:val="ListBullet"/>
      </w:pPr>
      <w:r>
        <w:t>Versionnement, publication et archivage des règles.</w:t>
      </w:r>
    </w:p>
    <w:p>
      <w:pPr>
        <w:pStyle w:val="ListBullet"/>
      </w:pPr>
      <w:r>
        <w:t>Contrôles avant modification et lecture du journal d’audit.</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F5F5F5"/>
          </w:tcPr>
          <w:p>
            <w:pPr>
              <w:spacing w:after="0"/>
            </w:pPr>
            <w:r>
              <w:rPr>
                <w:rFonts w:ascii="Calibri" w:hAnsi="Calibri"/>
                <w:b/>
                <w:color w:val="000000"/>
                <w:sz w:val="21"/>
              </w:rPr>
              <w:t xml:space="preserve">Mise en pratique : </w:t>
            </w:r>
            <w:r>
              <w:rPr>
                <w:rFonts w:ascii="Calibri" w:hAnsi="Calibri"/>
                <w:color w:val="111111"/>
                <w:sz w:val="21"/>
              </w:rPr>
              <w:t>Créer un utilisateur fictif, lui attribuer un rôle minimal puis publier une modification de référentiel en environnement de formation.</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21"/>
              </w:rPr>
              <w:t xml:space="preserve">Acquis attendu : </w:t>
            </w:r>
            <w:r>
              <w:rPr>
                <w:rFonts w:ascii="Calibri" w:hAnsi="Calibri"/>
                <w:color w:val="111111"/>
                <w:sz w:val="21"/>
              </w:rPr>
              <w:t>L’administrateur sait gérer les accès et référentiels sans compromettre la sécurité ni la traçabilité.</w:t>
            </w:r>
          </w:p>
        </w:tc>
      </w:tr>
    </w:tbl>
    <w:p>
      <w:pPr>
        <w:spacing w:after="0"/>
      </w:pPr>
    </w:p>
    <w:p>
      <w:r>
        <w:br w:type="page"/>
      </w:r>
    </w:p>
    <w:p>
      <w:pPr>
        <w:pStyle w:val="Heading1"/>
      </w:pPr>
      <w:r>
        <w:t>Module 13 - Sauvegarde, audit et assistance aux utilisateurs</w:t>
      </w:r>
    </w:p>
    <w:tbl>
      <w:tblPr>
        <w:tblW w:type="dxa" w:w="9360"/>
        <w:tblLayout w:type="fixed"/>
        <w:tblLook w:firstColumn="1" w:firstRow="1" w:lastColumn="0" w:lastRow="0" w:noHBand="0" w:noVBand="1" w:val="04A0"/>
        <w:tblInd w:w="120" w:type="dxa"/>
      </w:tblPr>
      <w:tblGrid>
        <w:gridCol w:w="2880"/>
        <w:gridCol w:w="6480"/>
      </w:tblGrid>
      <w:tr>
        <w:tc>
          <w:tcPr>
            <w:tcW w:type="dxa" w:w="28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Durée : </w:t>
            </w:r>
            <w:r>
              <w:rPr>
                <w:rFonts w:ascii="Calibri" w:hAnsi="Calibri"/>
                <w:color w:val="111111"/>
                <w:sz w:val="19"/>
              </w:rPr>
              <w:t>1 h</w:t>
            </w:r>
          </w:p>
        </w:tc>
        <w:tc>
          <w:tcPr>
            <w:tcW w:type="dxa" w:w="64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Public : </w:t>
            </w:r>
            <w:r>
              <w:rPr>
                <w:rFonts w:ascii="Calibri" w:hAnsi="Calibri"/>
                <w:color w:val="111111"/>
                <w:sz w:val="19"/>
              </w:rPr>
              <w:t>Administrateurs, responsables qualité, auditeurs et relais d’assistance</w:t>
            </w:r>
          </w:p>
        </w:tc>
      </w:tr>
    </w:tbl>
    <w:p>
      <w:pPr>
        <w:pStyle w:val="Heading2"/>
      </w:pPr>
      <w:r>
        <w:t>Objectifs d’apprentissage</w:t>
      </w:r>
    </w:p>
    <w:p>
      <w:pPr>
        <w:pStyle w:val="ListBullet"/>
      </w:pPr>
      <w:r>
        <w:t>Comprendre les contrôles de sauvegarde et de restauration sans exécuter d’opération risquée.</w:t>
      </w:r>
    </w:p>
    <w:p>
      <w:pPr>
        <w:pStyle w:val="ListBullet"/>
      </w:pPr>
      <w:r>
        <w:t>Exploiter les traces d’audit et organiser une assistance de premier niveau.</w:t>
      </w:r>
    </w:p>
    <w:p>
      <w:pPr>
        <w:pStyle w:val="Heading2"/>
      </w:pPr>
      <w:r>
        <w:t>Contenu essentiel</w:t>
      </w:r>
    </w:p>
    <w:p>
      <w:pPr>
        <w:pStyle w:val="ListBullet"/>
      </w:pPr>
      <w:r>
        <w:t>Sauvegardes de la base, des documents et sauvegardes complètes.</w:t>
      </w:r>
    </w:p>
    <w:p>
      <w:pPr>
        <w:pStyle w:val="ListBullet"/>
      </w:pPr>
      <w:r>
        <w:t>Politiques de fréquence, rétention, contrôle d’empreinte et stockage.</w:t>
      </w:r>
    </w:p>
    <w:p>
      <w:pPr>
        <w:pStyle w:val="ListBullet"/>
      </w:pPr>
      <w:r>
        <w:t>Principe du test de restauration isolé et procédures d’autorisation.</w:t>
      </w:r>
    </w:p>
    <w:p>
      <w:pPr>
        <w:pStyle w:val="ListBullet"/>
      </w:pPr>
      <w:r>
        <w:t>Journal d’audit : recherche, filtres, lecture et export.</w:t>
      </w:r>
    </w:p>
    <w:p>
      <w:pPr>
        <w:pStyle w:val="ListBullet"/>
      </w:pPr>
      <w:r>
        <w:t>Qualification d’un incident et collecte des informations utiles.</w:t>
      </w:r>
    </w:p>
    <w:p>
      <w:pPr>
        <w:pStyle w:val="ListBullet"/>
      </w:pPr>
      <w:r>
        <w:t>Assistance de niveau 1, escalade et clôture documentée.</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F5F5F5"/>
          </w:tcPr>
          <w:p>
            <w:pPr>
              <w:spacing w:after="0"/>
            </w:pPr>
            <w:r>
              <w:rPr>
                <w:rFonts w:ascii="Calibri" w:hAnsi="Calibri"/>
                <w:b/>
                <w:color w:val="000000"/>
                <w:sz w:val="21"/>
              </w:rPr>
              <w:t xml:space="preserve">Mise en pratique : </w:t>
            </w:r>
            <w:r>
              <w:rPr>
                <w:rFonts w:ascii="Calibri" w:hAnsi="Calibri"/>
                <w:color w:val="111111"/>
                <w:sz w:val="21"/>
              </w:rPr>
              <w:t>Contrôler les preuves d’une sauvegarde fictive, retrouver une action dans le journal puis rédiger une fiche d’incident complète.</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21"/>
              </w:rPr>
              <w:t xml:space="preserve">Acquis attendu : </w:t>
            </w:r>
            <w:r>
              <w:rPr>
                <w:rFonts w:ascii="Calibri" w:hAnsi="Calibri"/>
                <w:color w:val="111111"/>
                <w:sz w:val="21"/>
              </w:rPr>
              <w:t>Le participant sait vérifier les dispositifs de continuité et traiter une demande d’assistance de façon traçable.</w:t>
            </w:r>
          </w:p>
        </w:tc>
      </w:tr>
    </w:tbl>
    <w:p>
      <w:pPr>
        <w:spacing w:after="0"/>
      </w:pPr>
    </w:p>
    <w:p>
      <w:r>
        <w:br w:type="page"/>
      </w:r>
    </w:p>
    <w:p>
      <w:pPr>
        <w:pStyle w:val="Heading1"/>
      </w:pPr>
      <w:r>
        <w:t>6. Proposition de calendrier</w:t>
      </w:r>
    </w:p>
    <w:p>
      <w:r>
        <w:t>Le calendrier ci-dessous distingue clairement la formation collective, l’évaluation du personnel et le transfert de compétences administratives. La durée journalière indicative est de sept heures, pauses exclues.</w:t>
      </w:r>
    </w:p>
    <w:tbl>
      <w:tblPr>
        <w:tblW w:type="dxa" w:w="9360"/>
        <w:tblLayout w:type="fixed"/>
        <w:tblLook w:firstColumn="1" w:firstRow="1" w:lastColumn="0" w:lastRow="0" w:noHBand="0" w:noVBand="1" w:val="04A0"/>
        <w:tblInd w:w="120" w:type="dxa"/>
      </w:tblPr>
      <w:tblGrid>
        <w:gridCol w:w="1200"/>
        <w:gridCol w:w="2460"/>
        <w:gridCol w:w="4740"/>
        <w:gridCol w:w="960"/>
      </w:tblGrid>
      <w:tr>
        <w:trPr>
          <w:tblHeader w:val="true"/>
        </w:trPr>
        <w:tc>
          <w:tcPr>
            <w:tcW w:type="dxa" w:w="120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000000"/>
          </w:tcPr>
          <w:p>
            <w:pPr>
              <w:jc w:val="center"/>
            </w:pPr>
            <w:r>
              <w:rPr>
                <w:rFonts w:ascii="Calibri" w:hAnsi="Calibri"/>
                <w:b/>
                <w:color w:val="FFFFFF"/>
                <w:sz w:val="18"/>
              </w:rPr>
              <w:t>Période</w:t>
            </w:r>
          </w:p>
        </w:tc>
        <w:tc>
          <w:tcPr>
            <w:tcW w:type="dxa" w:w="24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000000"/>
          </w:tcPr>
          <w:p>
            <w:pPr>
              <w:jc w:val="center"/>
            </w:pPr>
            <w:r>
              <w:rPr>
                <w:rFonts w:ascii="Calibri" w:hAnsi="Calibri"/>
                <w:b/>
                <w:color w:val="FFFFFF"/>
                <w:sz w:val="18"/>
              </w:rPr>
              <w:t>Modules</w:t>
            </w:r>
          </w:p>
        </w:tc>
        <w:tc>
          <w:tcPr>
            <w:tcW w:type="dxa" w:w="474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000000"/>
          </w:tcPr>
          <w:p>
            <w:pPr>
              <w:jc w:val="center"/>
            </w:pPr>
            <w:r>
              <w:rPr>
                <w:rFonts w:ascii="Calibri" w:hAnsi="Calibri"/>
                <w:b/>
                <w:color w:val="FFFFFF"/>
                <w:sz w:val="18"/>
              </w:rPr>
              <w:t>Dominante</w:t>
            </w:r>
          </w:p>
        </w:tc>
        <w:tc>
          <w:tcPr>
            <w:tcW w:type="dxa" w:w="9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000000"/>
          </w:tcPr>
          <w:p>
            <w:pPr>
              <w:jc w:val="center"/>
            </w:pPr>
            <w:r>
              <w:rPr>
                <w:rFonts w:ascii="Calibri" w:hAnsi="Calibri"/>
                <w:b/>
                <w:color w:val="FFFFFF"/>
                <w:sz w:val="18"/>
              </w:rPr>
              <w:t>Durée</w:t>
            </w:r>
          </w:p>
        </w:tc>
      </w:tr>
      <w:tr>
        <w:tc>
          <w:tcPr>
            <w:tcW w:type="dxa" w:w="120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color w:val="111111"/>
                <w:sz w:val="18"/>
              </w:rPr>
              <w:t>Jour 1</w:t>
            </w:r>
          </w:p>
        </w:tc>
        <w:tc>
          <w:tcPr>
            <w:tcW w:type="dxa" w:w="246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111111"/>
                <w:sz w:val="18"/>
              </w:rPr>
              <w:t>Formation - Modules 1 à 5</w:t>
            </w:r>
          </w:p>
        </w:tc>
        <w:tc>
          <w:tcPr>
            <w:tcW w:type="dxa" w:w="474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111111"/>
                <w:sz w:val="18"/>
              </w:rPr>
              <w:t>Présentation, sécurité, profil, entreprises, organismes et certifications</w:t>
            </w:r>
          </w:p>
        </w:tc>
        <w:tc>
          <w:tcPr>
            <w:tcW w:type="dxa" w:w="96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111111"/>
                <w:sz w:val="18"/>
              </w:rPr>
              <w:t>7 h</w:t>
            </w:r>
          </w:p>
        </w:tc>
      </w:tr>
      <w:tr>
        <w:tc>
          <w:tcPr>
            <w:tcW w:type="dxa" w:w="120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color w:val="111111"/>
                <w:sz w:val="18"/>
              </w:rPr>
              <w:t>Jour 2</w:t>
            </w:r>
          </w:p>
        </w:tc>
        <w:tc>
          <w:tcPr>
            <w:tcW w:type="dxa" w:w="246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111111"/>
                <w:sz w:val="18"/>
              </w:rPr>
              <w:t>Formation - Modules 6 à 8</w:t>
            </w:r>
          </w:p>
        </w:tc>
        <w:tc>
          <w:tcPr>
            <w:tcW w:type="dxa" w:w="474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111111"/>
                <w:sz w:val="18"/>
              </w:rPr>
              <w:t>Collecte, vérification, FUCCS, validation N1/N2 et BNEC</w:t>
            </w:r>
          </w:p>
        </w:tc>
        <w:tc>
          <w:tcPr>
            <w:tcW w:type="dxa" w:w="96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111111"/>
                <w:sz w:val="18"/>
              </w:rPr>
              <w:t>7 h</w:t>
            </w:r>
          </w:p>
        </w:tc>
      </w:tr>
      <w:tr>
        <w:tc>
          <w:tcPr>
            <w:tcW w:type="dxa" w:w="120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color w:val="111111"/>
                <w:sz w:val="18"/>
              </w:rPr>
              <w:t>Jour 3</w:t>
            </w:r>
          </w:p>
        </w:tc>
        <w:tc>
          <w:tcPr>
            <w:tcW w:type="dxa" w:w="246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111111"/>
                <w:sz w:val="18"/>
              </w:rPr>
              <w:t>Formation - Modules 9 à 13</w:t>
            </w:r>
          </w:p>
        </w:tc>
        <w:tc>
          <w:tcPr>
            <w:tcW w:type="dxa" w:w="474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111111"/>
                <w:sz w:val="18"/>
              </w:rPr>
              <w:t>INFC/SNCC, veille, pilotage, administration, audit et assistance</w:t>
            </w:r>
          </w:p>
        </w:tc>
        <w:tc>
          <w:tcPr>
            <w:tcW w:type="dxa" w:w="96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111111"/>
                <w:sz w:val="18"/>
              </w:rPr>
              <w:t>7 h</w:t>
            </w:r>
          </w:p>
        </w:tc>
      </w:tr>
      <w:tr>
        <w:tc>
          <w:tcPr>
            <w:tcW w:type="dxa" w:w="120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color w:val="111111"/>
                <w:sz w:val="18"/>
              </w:rPr>
              <w:t>Jour 4</w:t>
            </w:r>
          </w:p>
        </w:tc>
        <w:tc>
          <w:tcPr>
            <w:tcW w:type="dxa" w:w="246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111111"/>
                <w:sz w:val="18"/>
              </w:rPr>
              <w:t>Évaluation du personnel</w:t>
            </w:r>
          </w:p>
        </w:tc>
        <w:tc>
          <w:tcPr>
            <w:tcW w:type="dxa" w:w="474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111111"/>
                <w:sz w:val="18"/>
              </w:rPr>
              <w:t>Évaluation théorique, cas pratique et appréciation des acquis</w:t>
            </w:r>
          </w:p>
        </w:tc>
        <w:tc>
          <w:tcPr>
            <w:tcW w:type="dxa" w:w="96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111111"/>
                <w:sz w:val="18"/>
              </w:rPr>
              <w:t>7 h</w:t>
            </w:r>
          </w:p>
        </w:tc>
      </w:tr>
      <w:tr>
        <w:tc>
          <w:tcPr>
            <w:tcW w:type="dxa" w:w="120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color w:val="111111"/>
                <w:sz w:val="18"/>
              </w:rPr>
              <w:t>Jour 5</w:t>
            </w:r>
          </w:p>
        </w:tc>
        <w:tc>
          <w:tcPr>
            <w:tcW w:type="dxa" w:w="246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111111"/>
                <w:sz w:val="18"/>
              </w:rPr>
              <w:t>Transfert de compétences</w:t>
            </w:r>
          </w:p>
        </w:tc>
        <w:tc>
          <w:tcPr>
            <w:tcW w:type="dxa" w:w="474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111111"/>
                <w:sz w:val="18"/>
              </w:rPr>
              <w:t>Transfert à l’administrateur choisi par la HAUQE</w:t>
            </w:r>
          </w:p>
        </w:tc>
        <w:tc>
          <w:tcPr>
            <w:tcW w:type="dxa" w:w="96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111111"/>
                <w:sz w:val="18"/>
              </w:rPr>
              <w:t>7 h</w:t>
            </w:r>
          </w:p>
        </w:tc>
      </w:tr>
    </w:tbl>
    <w:p>
      <w:pPr>
        <w:pStyle w:val="Heading1"/>
      </w:pPr>
      <w:r>
        <w:t>7. Journée d’évaluation du personnel</w:t>
      </w:r>
    </w:p>
    <w:p>
      <w:r>
        <w:t>La quatrième journée est entièrement consacrée à l’évaluation. Elle permet de mesurer les connaissances, la capacité à exécuter les principales opérations et le niveau d’autonomie de chaque participant.</w:t>
      </w:r>
    </w:p>
    <w:p>
      <w:pPr>
        <w:pStyle w:val="ListBullet"/>
      </w:pPr>
      <w:r>
        <w:t>Épreuve théorique sur la sécurité, les rôles, le parcours métier et les règles essentielles.</w:t>
      </w:r>
    </w:p>
    <w:p>
      <w:pPr>
        <w:pStyle w:val="ListBullet"/>
      </w:pPr>
      <w:r>
        <w:t>Cas pratique transversal reproduisant le traitement d’une certification dans le SNGSC.</w:t>
      </w:r>
    </w:p>
    <w:p>
      <w:pPr>
        <w:pStyle w:val="ListBullet"/>
      </w:pPr>
      <w:r>
        <w:t>Évaluation des gestes opérationnels correspondant au profil du participant.</w:t>
      </w:r>
    </w:p>
    <w:p>
      <w:pPr>
        <w:pStyle w:val="ListBullet"/>
      </w:pPr>
      <w:r>
        <w:t>Entretien court ou correction commentée pour identifier les besoins de renforcement.</w:t>
      </w:r>
    </w:p>
    <w:p>
      <w:pPr>
        <w:pStyle w:val="ListBullet"/>
      </w:pPr>
      <w:r>
        <w:t>Production d’une synthèse des résultats et de recommandations d’accompagnement.</w:t>
      </w:r>
    </w:p>
    <w:p>
      <w:pPr>
        <w:pStyle w:val="ListBullet"/>
      </w:pPr>
      <w:r>
        <w:t>Seuil recommandé de validation : 70 %, avec reprise ciblée des compétences non acquises.</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F5F5F5"/>
          </w:tcPr>
          <w:p>
            <w:pPr>
              <w:spacing w:after="0"/>
            </w:pPr>
            <w:r>
              <w:rPr>
                <w:rFonts w:ascii="Calibri" w:hAnsi="Calibri"/>
                <w:b/>
                <w:color w:val="000000"/>
                <w:sz w:val="21"/>
              </w:rPr>
              <w:t xml:space="preserve">Livrables de l’évaluation : </w:t>
            </w:r>
            <w:r>
              <w:rPr>
                <w:rFonts w:ascii="Calibri" w:hAnsi="Calibri"/>
                <w:color w:val="111111"/>
                <w:sz w:val="21"/>
              </w:rPr>
              <w:t>grille individuelle, synthèse globale des acquis, difficultés observées et recommandations de renforcement, dans le respect de la confidentialité.</w:t>
            </w:r>
          </w:p>
        </w:tc>
      </w:tr>
    </w:tbl>
    <w:p>
      <w:pPr>
        <w:spacing w:after="0"/>
      </w:pPr>
    </w:p>
    <w:p>
      <w:pPr>
        <w:pStyle w:val="Heading1"/>
      </w:pPr>
      <w:r>
        <w:t>8. Journée de transfert de compétences</w:t>
      </w:r>
    </w:p>
    <w:p>
      <w:r>
        <w:t>La cinquième journée est réservée au transfert de compétences à l’administrateur choisi par la HAUQE. Elle approfondit les opérations qui ne doivent pas être exécutées par les utilisateurs ordinaires.</w:t>
      </w:r>
    </w:p>
    <w:p>
      <w:pPr>
        <w:pStyle w:val="ListBullet"/>
      </w:pPr>
      <w:r>
        <w:t>Gestion du cycle de vie des comptes, rôles, permissions et périmètres.</w:t>
      </w:r>
    </w:p>
    <w:p>
      <w:pPr>
        <w:pStyle w:val="ListBullet"/>
      </w:pPr>
      <w:r>
        <w:t>Administration des référentiels et suivi des règles versionnées.</w:t>
      </w:r>
    </w:p>
    <w:p>
      <w:pPr>
        <w:pStyle w:val="ListBullet"/>
      </w:pPr>
      <w:r>
        <w:t>Contrôle des notifications, des files d’attente et des incidents courants.</w:t>
      </w:r>
    </w:p>
    <w:p>
      <w:pPr>
        <w:pStyle w:val="ListBullet"/>
      </w:pPr>
      <w:r>
        <w:t>Lecture du journal d’audit et production des éléments de preuve.</w:t>
      </w:r>
    </w:p>
    <w:p>
      <w:pPr>
        <w:pStyle w:val="ListBullet"/>
      </w:pPr>
      <w:r>
        <w:t>Contrôle des sauvegardes et application de la procédure d’escalade pour une restauration.</w:t>
      </w:r>
    </w:p>
    <w:p>
      <w:pPr>
        <w:pStyle w:val="ListBullet"/>
      </w:pPr>
      <w:r>
        <w:t>Diagnostic de premier niveau, assistance aux utilisateurs et transmission au support technique.</w:t>
      </w:r>
    </w:p>
    <w:p>
      <w:pPr>
        <w:pStyle w:val="ListBullet"/>
      </w:pPr>
      <w:r>
        <w:t>Utilisation des procédures d’exploitation sans divulgation des secrets ni modification directe de la base de données.</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21"/>
              </w:rPr>
              <w:t xml:space="preserve">Acquis attendu : </w:t>
            </w:r>
            <w:r>
              <w:rPr>
                <w:rFonts w:ascii="Calibri" w:hAnsi="Calibri"/>
                <w:color w:val="111111"/>
                <w:sz w:val="21"/>
              </w:rPr>
              <w:t>l’administrateur choisi par la HAUQE sait assurer l’administration fonctionnelle courante, appliquer les procédures de sécurité et solliciter le niveau technique lorsque l’intervention dépasse son périmètre.</w:t>
            </w:r>
          </w:p>
        </w:tc>
      </w:tr>
    </w:tbl>
    <w:p>
      <w:pPr>
        <w:spacing w:after="0"/>
      </w:pPr>
    </w:p>
    <w:p>
      <w:pPr>
        <w:pStyle w:val="Heading1"/>
      </w:pPr>
      <w:r>
        <w:t>9. Conditions de mise en œuvre</w:t>
      </w:r>
    </w:p>
    <w:tbl>
      <w:tblPr>
        <w:tblW w:type="dxa" w:w="9360"/>
        <w:tblLayout w:type="fixed"/>
        <w:tblLook w:firstColumn="1" w:firstRow="1" w:lastColumn="0" w:lastRow="0" w:noHBand="0" w:noVBand="1" w:val="04A0"/>
        <w:tblInd w:w="120" w:type="dxa"/>
      </w:tblPr>
      <w:tblGrid>
        <w:gridCol w:w="2160"/>
        <w:gridCol w:w="7200"/>
      </w:tblGrid>
      <w:tr>
        <w:tc>
          <w:tcPr>
            <w:tcW w:type="dxa" w:w="2160"/>
            <w:shd w:fill="EDEDED"/>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r>
              <w:rPr>
                <w:rFonts w:ascii="Calibri" w:hAnsi="Calibri"/>
                <w:b/>
                <w:color w:val="000000"/>
                <w:sz w:val="19"/>
              </w:rPr>
              <w:t>Organisation</w:t>
            </w:r>
          </w:p>
        </w:tc>
        <w:tc>
          <w:tcPr>
            <w:tcW w:type="dxa" w:w="720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r>
              <w:rPr>
                <w:rFonts w:ascii="Calibri" w:hAnsi="Calibri"/>
                <w:color w:val="111111"/>
                <w:sz w:val="19"/>
              </w:rPr>
              <w:t>Tout le personnel participe aux trois journées de formation ; l’évaluation peut être organisée par groupes ou par profils.</w:t>
            </w:r>
          </w:p>
        </w:tc>
      </w:tr>
      <w:tr>
        <w:tc>
          <w:tcPr>
            <w:tcW w:type="dxa" w:w="2160"/>
            <w:shd w:fill="EDEDED"/>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r>
              <w:rPr>
                <w:rFonts w:ascii="Calibri" w:hAnsi="Calibri"/>
                <w:b/>
                <w:color w:val="000000"/>
                <w:sz w:val="19"/>
              </w:rPr>
              <w:t>Environnement</w:t>
            </w:r>
          </w:p>
        </w:tc>
        <w:tc>
          <w:tcPr>
            <w:tcW w:type="dxa" w:w="720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r>
              <w:rPr>
                <w:rFonts w:ascii="Calibri" w:hAnsi="Calibri"/>
                <w:color w:val="111111"/>
                <w:sz w:val="19"/>
              </w:rPr>
              <w:t>Plateforme de formation distincte de la production, comptes de test et données strictement fictives ou anonymisées.</w:t>
            </w:r>
          </w:p>
        </w:tc>
      </w:tr>
      <w:tr>
        <w:tc>
          <w:tcPr>
            <w:tcW w:type="dxa" w:w="2160"/>
            <w:shd w:fill="EDEDED"/>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r>
              <w:rPr>
                <w:rFonts w:ascii="Calibri" w:hAnsi="Calibri"/>
                <w:b/>
                <w:color w:val="000000"/>
                <w:sz w:val="19"/>
              </w:rPr>
              <w:t>Équipement</w:t>
            </w:r>
          </w:p>
        </w:tc>
        <w:tc>
          <w:tcPr>
            <w:tcW w:type="dxa" w:w="720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r>
              <w:rPr>
                <w:rFonts w:ascii="Calibri" w:hAnsi="Calibri"/>
                <w:color w:val="111111"/>
                <w:sz w:val="19"/>
              </w:rPr>
              <w:t>Un poste connecté par participant ou par binôme, vidéoprojecteur et accès réseau stable.</w:t>
            </w:r>
          </w:p>
        </w:tc>
      </w:tr>
      <w:tr>
        <w:tc>
          <w:tcPr>
            <w:tcW w:type="dxa" w:w="2160"/>
            <w:shd w:fill="EDEDED"/>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r>
              <w:rPr>
                <w:rFonts w:ascii="Calibri" w:hAnsi="Calibri"/>
                <w:b/>
                <w:color w:val="000000"/>
                <w:sz w:val="19"/>
              </w:rPr>
              <w:t>Supports</w:t>
            </w:r>
          </w:p>
        </w:tc>
        <w:tc>
          <w:tcPr>
            <w:tcW w:type="dxa" w:w="720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r>
              <w:rPr>
                <w:rFonts w:ascii="Calibri" w:hAnsi="Calibri"/>
                <w:color w:val="111111"/>
                <w:sz w:val="19"/>
              </w:rPr>
              <w:t>Guide global d’utilisation SNGSC / HAUQE V2, fiches pratiques, jeux de données et scénarios d’exercice.</w:t>
            </w:r>
          </w:p>
        </w:tc>
      </w:tr>
      <w:tr>
        <w:tc>
          <w:tcPr>
            <w:tcW w:type="dxa" w:w="2160"/>
            <w:shd w:fill="EDEDED"/>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r>
              <w:rPr>
                <w:rFonts w:ascii="Calibri" w:hAnsi="Calibri"/>
                <w:b/>
                <w:color w:val="000000"/>
                <w:sz w:val="19"/>
              </w:rPr>
              <w:t>Encadrement</w:t>
            </w:r>
          </w:p>
        </w:tc>
        <w:tc>
          <w:tcPr>
            <w:tcW w:type="dxa" w:w="720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r>
              <w:rPr>
                <w:rFonts w:ascii="Calibri" w:hAnsi="Calibri"/>
                <w:color w:val="111111"/>
                <w:sz w:val="19"/>
              </w:rPr>
              <w:t>Un formateur fonctionnel ; appui d’un référent métier HAUQE et d’un référent technique pour le transfert de compétences.</w:t>
            </w:r>
          </w:p>
        </w:tc>
      </w:tr>
      <w:tr>
        <w:tc>
          <w:tcPr>
            <w:tcW w:type="dxa" w:w="2160"/>
            <w:shd w:fill="EDEDED"/>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r>
              <w:rPr>
                <w:rFonts w:ascii="Calibri" w:hAnsi="Calibri"/>
                <w:b/>
                <w:color w:val="000000"/>
                <w:sz w:val="19"/>
              </w:rPr>
              <w:t>Suivi</w:t>
            </w:r>
          </w:p>
        </w:tc>
        <w:tc>
          <w:tcPr>
            <w:tcW w:type="dxa" w:w="720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r>
              <w:rPr>
                <w:rFonts w:ascii="Calibri" w:hAnsi="Calibri"/>
                <w:color w:val="111111"/>
                <w:sz w:val="19"/>
              </w:rPr>
              <w:t>Feuille de présence, résultats d’évaluation, liste des difficultés et plan d’accompagnement post-formation.</w:t>
            </w:r>
          </w:p>
        </w:tc>
      </w:tr>
    </w:tbl>
    <w:p>
      <w:pPr>
        <w:pStyle w:val="Heading1"/>
      </w:pPr>
      <w:r>
        <w:t>10. Validation proposée</w:t>
      </w:r>
    </w:p>
    <w:p>
      <w:r>
        <w:t>La HAUQE est invitée à valider la liste des modules, le calendrier de cinq jours, les modalités d’évaluation et le profil de l’administrateur bénéficiaire du transfert de compétences. Après validation, le programme pourra être décliné en supports de présentation, fiches d’exercices et feuilles d’évaluation.</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F5F5F5"/>
          </w:tcPr>
          <w:p>
            <w:pPr>
              <w:spacing w:after="0"/>
            </w:pPr>
            <w:r>
              <w:rPr>
                <w:rFonts w:ascii="Calibri" w:hAnsi="Calibri"/>
                <w:b/>
                <w:color w:val="000000"/>
                <w:sz w:val="21"/>
              </w:rPr>
              <w:t xml:space="preserve">Décision attendue : </w:t>
            </w:r>
            <w:r>
              <w:rPr>
                <w:rFonts w:ascii="Calibri" w:hAnsi="Calibri"/>
                <w:color w:val="111111"/>
                <w:sz w:val="21"/>
              </w:rPr>
              <w:t>validation des trois jours de formation de tout le personnel, de la journée d’évaluation et de la journée de transfert à l’administrateur choisi par la HAUQE.</w:t>
            </w:r>
          </w:p>
        </w:tc>
      </w:tr>
    </w:tbl>
    <w:p>
      <w:pPr>
        <w:spacing w:after="0"/>
      </w:pPr>
    </w:p>
    <w:sectPr w:rsidR="00FC693F" w:rsidRPr="0006063C" w:rsidSect="00034616">
      <w:headerReference w:type="default" r:id="rId9"/>
      <w:footerReference w:type="default" r:id="rId10"/>
      <w:pgSz w:w="11906" w:h="16838"/>
      <w:pgMar w:top="1247" w:right="1304" w:bottom="1247" w:left="130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tblLayout w:type="fixed"/>
      <w:tblLook w:firstColumn="1" w:firstRow="1" w:lastColumn="0" w:lastRow="0" w:noHBand="0" w:noVBand="1" w:val="04A0"/>
      <w:tblInd w:w="0" w:type="dxa"/>
    </w:tblPr>
    <w:tblGrid>
      <w:gridCol w:w="7200"/>
      <w:gridCol w:w="2160"/>
    </w:tblGrid>
    <w:tr>
      <w:tc>
        <w:tcPr>
          <w:tcW w:type="dxa" w:w="7200"/>
          <w:tcMar>
            <w:top w:w="90" w:type="dxa"/>
            <w:start w:w="120" w:type="dxa"/>
            <w:bottom w:w="90" w:type="dxa"/>
            <w:end w:w="120" w:type="dxa"/>
          </w:tcMar>
          <w:tcBorders>
            <w:top w:val="single" w:sz="0" w:color="FFFFFF"/>
            <w:start w:val="single" w:sz="0" w:color="FFFFFF"/>
            <w:bottom w:val="single" w:sz="0" w:color="FFFFFF"/>
            <w:end w:val="single" w:sz="0" w:color="FFFFFF"/>
            <w:insideH w:val="single" w:sz="0" w:color="FFFFFF"/>
            <w:insideV w:val="single" w:sz="0" w:color="FFFFFF"/>
          </w:tcBorders>
        </w:tcPr>
        <w:p>
          <w:pPr>
            <w:spacing w:after="0"/>
          </w:pPr>
          <w:r>
            <w:rPr>
              <w:rFonts w:ascii="Calibri" w:hAnsi="Calibri"/>
              <w:color w:val="555555"/>
              <w:sz w:val="16"/>
            </w:rPr>
            <w:t>Document de travail - Version 2.0 - Août 2026</w:t>
          </w:r>
        </w:p>
      </w:tc>
      <w:tc>
        <w:tcPr>
          <w:tcW w:type="dxa" w:w="2160"/>
          <w:tcMar>
            <w:top w:w="90" w:type="dxa"/>
            <w:start w:w="120" w:type="dxa"/>
            <w:bottom w:w="90" w:type="dxa"/>
            <w:end w:w="120" w:type="dxa"/>
          </w:tcMar>
          <w:tcBorders>
            <w:top w:val="single" w:sz="0" w:color="FFFFFF"/>
            <w:start w:val="single" w:sz="0" w:color="FFFFFF"/>
            <w:bottom w:val="single" w:sz="0" w:color="FFFFFF"/>
            <w:end w:val="single" w:sz="0" w:color="FFFFFF"/>
            <w:insideH w:val="single" w:sz="0" w:color="FFFFFF"/>
            <w:insideV w:val="single" w:sz="0" w:color="FFFFFF"/>
          </w:tcBorders>
        </w:tcPr>
        <w:p>
          <w:pPr>
            <w:spacing w:after="0"/>
            <w:jc w:val="right"/>
          </w:pPr>
          <w:r>
            <w:rPr>
              <w:rFonts w:ascii="Calibri" w:hAnsi="Calibri"/>
              <w:color w:val="555555"/>
              <w:sz w:val="16"/>
            </w:rPr>
            <w:t>SNGSC / HAUQE Certif</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55555"/>
        <w:sz w:val="17"/>
      </w:rPr>
      <w:t>HAUQE  |  SNGSC - Programme de formation du personnel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Calibri" w:hAnsi="Calibri"/>
      <w:i/>
      <w:iCs/>
      <w:color w:val="55555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color w:val="111111"/>
      <w:sz w:val="21"/>
    </w:rPr>
  </w:style>
  <w:style w:type="paragraph" w:styleId="ListBullet2">
    <w:name w:val="List Bullet 2"/>
    <w:basedOn w:val="Normal"/>
    <w:uiPriority w:val="99"/>
    <w:unhideWhenUsed/>
    <w:rsid w:val="00326F90"/>
    <w:pPr>
      <w:numPr>
        <w:numId w:val="2"/>
      </w:numPr>
      <w:spacing w:after="80" w:line="290" w:lineRule="auto"/>
      <w:ind w:left="936" w:hanging="279"/>
      <w:contextualSpacing/>
    </w:pPr>
    <w:rPr>
      <w:rFonts w:ascii="Calibri" w:hAnsi="Calibri"/>
      <w:color w:val="111111"/>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color w:val="111111"/>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Proposition de modules de formation du personnel - SNGSC / HAUQE Certif</dc:title>
  <dc:subject>Programme de formation du personnel</dc:subject>
  <dc:creator>HAUQE</dc:creator>
  <cp:keywords>SNGSC, HAUQE, formation, personnel, modules</cp:keywords>
  <dc:description>Version 2 monochrome - document de travail soumis pour validation</dc:description>
  <cp:lastModifiedBy/>
  <cp:revision>1</cp:revision>
  <dcterms:created xsi:type="dcterms:W3CDTF">2013-12-23T23:15:00Z</dcterms:created>
  <dcterms:modified xsi:type="dcterms:W3CDTF">2013-12-23T23:15:00Z</dcterms:modified>
  <cp:category/>
</cp:coreProperties>
</file>