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ptos" w:hAnsi="Aptos"/>
          <w:b/>
          <w:color w:val="087659"/>
          <w:sz w:val="32"/>
        </w:rPr>
        <w:t>HAUQE</w:t>
      </w:r>
    </w:p>
    <w:p>
      <w:pPr>
        <w:jc w:val="center"/>
      </w:pPr>
      <w:r>
        <w:rPr>
          <w:rFonts w:ascii="Aptos" w:hAnsi="Aptos"/>
          <w:b/>
          <w:color w:val="064A3A"/>
          <w:sz w:val="22"/>
        </w:rPr>
        <w:t>SYSTÈME NATIONAL DE GESTION ET DE SUIVI DES CERTIFICATIONS</w:t>
      </w:r>
    </w:p>
    <w:p/>
    <w:p>
      <w:pPr>
        <w:jc w:val="center"/>
      </w:pPr>
      <w:r>
        <w:rPr>
          <w:rFonts w:ascii="Aptos Display" w:hAnsi="Aptos Display"/>
          <w:b/>
          <w:color w:val="064A3A"/>
          <w:sz w:val="58"/>
        </w:rPr>
        <w:t>Guide global d'utilisation</w:t>
      </w:r>
    </w:p>
    <w:p>
      <w:pPr>
        <w:jc w:val="center"/>
      </w:pPr>
      <w:r>
        <w:rPr>
          <w:rFonts w:ascii="Aptos" w:hAnsi="Aptos"/>
          <w:color w:val="087659"/>
          <w:sz w:val="28"/>
        </w:rPr>
        <w:t>Manuel opérationnel pour les agents habilités</w:t>
      </w:r>
    </w:p>
    <w:p/>
    <w:p/>
    <w:p/>
    <w:p/>
    <w:p/>
    <w:p/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Version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1.0 - version de travail structurée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Date</w:t>
            </w:r>
          </w:p>
        </w:tc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Août 2026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Diffusion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Interne HAUQE - utilisateurs habilités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Statut</w:t>
            </w:r>
          </w:p>
        </w:tc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Document modifiable - captures à insérer par la HAUQE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À propos de ce guide</w:t>
      </w:r>
    </w:p>
    <w:p>
      <w:pPr>
        <w:spacing w:after="140"/>
      </w:pPr>
      <w:r>
        <w:t>Ce manuel accompagne l'utilisation fonctionnelle du SNGSC. Il décrit les actions attendues, les contrôles à réaliser et les résultats à vérifier. Les écrans peuvent varier selon le rôle attribué à l'utilisateur.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FFF2D9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E8C47D"/>
              <w:left w:val="single" w:sz="6" w:color="E8C47D"/>
              <w:bottom w:val="single" w:sz="6" w:color="E8C47D"/>
              <w:right w:val="single" w:sz="6" w:color="E8C47D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RÈGLE DE SÉCURITÉ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Ne partagez jamais votre mot de passe, votre code MFA, un code de récupération, un lien de réinitialisation ou une capture contenant des données sensibles.</w:t>
            </w:r>
          </w:p>
        </w:tc>
      </w:tr>
    </w:tbl>
    <w:p>
      <w:pPr>
        <w:spacing w:after="40"/>
      </w:pPr>
    </w:p>
    <w:p>
      <w:pPr>
        <w:pStyle w:val="Heading2"/>
      </w:pPr>
      <w:r>
        <w:t>Fiche documentaire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Titre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Guide global d'utilisation du SNGSC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Propriétaire</w:t>
            </w:r>
          </w:p>
        </w:tc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HAUQE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Utilisateurs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Agents autorisés, superviseurs, administrateurs et responsables métier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Mise à jour</w:t>
            </w:r>
          </w:p>
        </w:tc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À réviser après chaque évolution fonctionnelle majeure</w:t>
            </w:r>
          </w:p>
        </w:tc>
      </w:tr>
    </w:tbl>
    <w:p>
      <w:pPr>
        <w:spacing w:after="40"/>
      </w:pPr>
    </w:p>
    <w:p>
      <w:pPr>
        <w:pStyle w:val="Heading2"/>
      </w:pPr>
      <w:r>
        <w:t>Comment utiliser ce manuel</w:t>
      </w:r>
    </w:p>
    <w:p>
      <w:pPr>
        <w:pStyle w:val="ListBullet"/>
      </w:pPr>
      <w:r>
        <w:t>Lire d'abord les chapitres 1 à 3 pour maîtriser l'accès, la sécurité et la navigation.</w:t>
      </w:r>
    </w:p>
    <w:p>
      <w:pPr>
        <w:pStyle w:val="ListBullet"/>
      </w:pPr>
      <w:r>
        <w:t>Consulter ensuite le chapitre correspondant au rôle et au traitement confié.</w:t>
      </w:r>
    </w:p>
    <w:p>
      <w:pPr>
        <w:pStyle w:val="ListBullet"/>
      </w:pPr>
      <w:r>
        <w:t>Insérer les captures dans les cadres prévus, puis compléter leurs légendes avec les repères visibles.</w:t>
      </w:r>
    </w:p>
    <w:p>
      <w:pPr>
        <w:pStyle w:val="ListBullet"/>
      </w:pPr>
      <w:r>
        <w:t>En cas de doute, privilégier la consultation de l'historique avant toute modification.</w:t>
      </w:r>
    </w:p>
    <w:p>
      <w:pPr>
        <w:pStyle w:val="Heading2"/>
      </w:pPr>
      <w:r>
        <w:t>Rôles de référence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fill="08765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Rôle</w:t>
            </w:r>
          </w:p>
        </w:tc>
        <w:tc>
          <w:tcPr>
            <w:tcW w:type="dxa" w:w="4082"/>
            <w:shd w:fill="08765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Responsabilité principale</w:t>
            </w:r>
          </w:p>
        </w:tc>
        <w:tc>
          <w:tcPr>
            <w:tcW w:type="dxa" w:w="3458"/>
            <w:shd w:fill="08765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Modules usuels</w:t>
            </w:r>
          </w:p>
        </w:tc>
      </w:tr>
      <w:tr>
        <w:tc>
          <w:tcPr>
            <w:tcW w:type="dxa" w:w="3137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Agent de collecte</w:t>
            </w:r>
          </w:p>
        </w:tc>
        <w:tc>
          <w:tcPr>
            <w:tcW w:type="dxa" w:w="3137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Constitue les fiches et rassemble les preuves.</w:t>
            </w:r>
          </w:p>
        </w:tc>
        <w:tc>
          <w:tcPr>
            <w:tcW w:type="dxa" w:w="3137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Collecte, entreprises, documents</w:t>
            </w:r>
          </w:p>
        </w:tc>
      </w:tr>
      <w:tr>
        <w:tc>
          <w:tcPr>
            <w:tcW w:type="dxa" w:w="3137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Vérificateur</w:t>
            </w:r>
          </w:p>
        </w:tc>
        <w:tc>
          <w:tcPr>
            <w:tcW w:type="dxa" w:w="3137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Contrôle la cohérence documentaire et les anomalies.</w:t>
            </w:r>
          </w:p>
        </w:tc>
        <w:tc>
          <w:tcPr>
            <w:tcW w:type="dxa" w:w="3137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Vérification, documents, entreprises</w:t>
            </w:r>
          </w:p>
        </w:tc>
      </w:tr>
      <w:tr>
        <w:tc>
          <w:tcPr>
            <w:tcW w:type="dxa" w:w="3137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Contrôleur FUCCS</w:t>
            </w:r>
          </w:p>
        </w:tc>
        <w:tc>
          <w:tcPr>
            <w:tcW w:type="dxa" w:w="3137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Applique la grille de contrôle et consigne les constats.</w:t>
            </w:r>
          </w:p>
        </w:tc>
        <w:tc>
          <w:tcPr>
            <w:tcW w:type="dxa" w:w="3137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FUCCS, documents, certifications</w:t>
            </w:r>
          </w:p>
        </w:tc>
      </w:tr>
      <w:tr>
        <w:tc>
          <w:tcPr>
            <w:tcW w:type="dxa" w:w="3137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Point focal BNEC</w:t>
            </w:r>
          </w:p>
        </w:tc>
        <w:tc>
          <w:tcPr>
            <w:tcW w:type="dxa" w:w="3137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Coordonne les validations et l'intégration.</w:t>
            </w:r>
          </w:p>
        </w:tc>
        <w:tc>
          <w:tcPr>
            <w:tcW w:type="dxa" w:w="3137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Validation, BNEC, rapports</w:t>
            </w:r>
          </w:p>
        </w:tc>
      </w:tr>
      <w:tr>
        <w:tc>
          <w:tcPr>
            <w:tcW w:type="dxa" w:w="3137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Cellule de veille</w:t>
            </w:r>
          </w:p>
        </w:tc>
        <w:tc>
          <w:tcPr>
            <w:tcW w:type="dxa" w:w="3137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Suit les échéances, alertes et relances.</w:t>
            </w:r>
          </w:p>
        </w:tc>
        <w:tc>
          <w:tcPr>
            <w:tcW w:type="dxa" w:w="3137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Veille, alertes, échéances</w:t>
            </w:r>
          </w:p>
        </w:tc>
      </w:tr>
      <w:tr>
        <w:tc>
          <w:tcPr>
            <w:tcW w:type="dxa" w:w="3137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Administrateur HAUQE</w:t>
            </w:r>
          </w:p>
        </w:tc>
        <w:tc>
          <w:tcPr>
            <w:tcW w:type="dxa" w:w="3137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Gère comptes, référentiels, règles et continuité.</w:t>
            </w:r>
          </w:p>
        </w:tc>
        <w:tc>
          <w:tcPr>
            <w:tcW w:type="dxa" w:w="3137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Administration, audit, sauvegardes</w:t>
            </w:r>
          </w:p>
        </w:tc>
      </w:tr>
    </w:tbl>
    <w:p>
      <w:pPr>
        <w:spacing w:after="40"/>
      </w:pPr>
    </w:p>
    <w:p>
      <w:pPr>
        <w:pStyle w:val="Heading1"/>
      </w:pPr>
      <w:r>
        <w:t>Table des matières</w:t>
      </w:r>
    </w:p>
    <w:p>
      <w:fldSimple w:instr="TOC \o &quot;1-3&quot; \h \z \u"/>
    </w:p>
    <w:p>
      <w:pPr>
        <w:spacing w:after="140"/>
      </w:pPr>
      <w:r>
        <w:t>Dans Word : clic droit sur la table des matières, puis « Mettre à jour les champs » avant impression.</w:t>
      </w:r>
    </w:p>
    <w:p>
      <w:pPr>
        <w:pStyle w:val="Heading2"/>
      </w:pPr>
      <w:r>
        <w:t>Liste des figures</w:t>
      </w:r>
    </w:p>
    <w:p>
      <w:pPr>
        <w:spacing w:after="140"/>
      </w:pPr>
      <w:r>
        <w:t>Les figures seront mises à jour après insertion des captures d'écran.</w:t>
      </w:r>
    </w:p>
    <w:p>
      <w:pPr>
        <w:pStyle w:val="Heading2"/>
      </w:pPr>
      <w:r>
        <w:t>Glossaire essentiel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BNEC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Base nationale des entreprises certifiées.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FUCCS</w:t>
            </w:r>
          </w:p>
        </w:tc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Grille de contrôle appliquée aux dossiers de certification.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INFC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Indicateur de fiabilité des certifications.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SNCC</w:t>
            </w:r>
          </w:p>
        </w:tc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Système national de classement des certifications.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CVC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Cellule de veille des certifications.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Comprendre le SNGSC et le cycle d'un dossier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BUT DU CHAPITRE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Situer chaque action dans le parcours national : aucune étape ne remplace une autre et chaque décision doit être traçable.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Utilisateurs concernés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Tous les utilisateurs habilités.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Prérequis</w:t>
            </w:r>
          </w:p>
        </w:tc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Être connecté avec un compte actif.</w:t>
            </w:r>
          </w:p>
        </w:tc>
      </w:tr>
    </w:tbl>
    <w:p>
      <w:pPr>
        <w:spacing w:after="40"/>
      </w:pPr>
    </w:p>
    <w:p>
      <w:pPr>
        <w:pStyle w:val="Heading2"/>
      </w:pPr>
      <w:r>
        <w:t>Lire le parcours d'un dossier</w:t>
      </w:r>
    </w:p>
    <w:p>
      <w:pPr>
        <w:pStyle w:val="ListNumber"/>
      </w:pPr>
      <w:r>
        <w:t>Rechercher l'entreprise ou la certification concernée.</w:t>
      </w:r>
    </w:p>
    <w:p>
      <w:pPr>
        <w:pStyle w:val="ListNumber"/>
      </w:pPr>
      <w:r>
        <w:t>Ouvrir le dossier et consulter son statut courant.</w:t>
      </w:r>
    </w:p>
    <w:p>
      <w:pPr>
        <w:pStyle w:val="ListNumber"/>
      </w:pPr>
      <w:r>
        <w:t>Lire l'historique avant d'effectuer une action.</w:t>
      </w:r>
    </w:p>
    <w:p>
      <w:pPr>
        <w:pStyle w:val="ListNumber"/>
      </w:pPr>
      <w:r>
        <w:t>Utiliser uniquement l'action autorisée par votre rôle.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Le dossier est traité dans l'ordre prévu : collecte, vérification, contrôle, validation, intégration, évaluation ou veille.</w:t>
            </w:r>
          </w:p>
        </w:tc>
      </w:tr>
    </w:tbl>
    <w:p>
      <w:pPr>
        <w:spacing w:after="40"/>
      </w:pPr>
    </w:p>
    <w:p>
      <w:pPr>
        <w:pStyle w:val="Heading2"/>
      </w:pPr>
      <w:r>
        <w:t>Identifier une action bloquante</w:t>
      </w:r>
    </w:p>
    <w:p>
      <w:pPr>
        <w:pStyle w:val="ListNumber"/>
      </w:pPr>
      <w:r>
        <w:t>Repérer les messages d'anomalie ou les statuts d'attente.</w:t>
      </w:r>
    </w:p>
    <w:p>
      <w:pPr>
        <w:pStyle w:val="ListNumber"/>
      </w:pPr>
      <w:r>
        <w:t>Consulter la correction demandée ou le responsable affecté.</w:t>
      </w:r>
    </w:p>
    <w:p>
      <w:pPr>
        <w:pStyle w:val="ListNumber"/>
      </w:pPr>
      <w:r>
        <w:t>Ne pas créer un second dossier pour contourner un blocage.</w:t>
      </w:r>
    </w:p>
    <w:p>
      <w:pPr>
        <w:pStyle w:val="ListNumber"/>
      </w:pPr>
      <w:r>
        <w:t>Corriger ou transmettre au rôle compétent.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Le prochain responsable peut reprendre le même dossier avec l'historique complet.</w:t>
            </w:r>
          </w:p>
        </w:tc>
      </w:tr>
    </w:tbl>
    <w:p>
      <w:pPr>
        <w:spacing w:after="40"/>
      </w:pPr>
    </w:p>
    <w:p>
      <w:pPr>
        <w:pStyle w:val="Heading2"/>
      </w:pPr>
      <w:r>
        <w:t>Points d'attention</w:t>
      </w:r>
    </w:p>
    <w:p>
      <w:pPr>
        <w:pStyle w:val="ListBullet"/>
      </w:pPr>
      <w:r>
        <w:t>Un brouillon n'est pas une validation.</w:t>
      </w:r>
    </w:p>
    <w:p>
      <w:pPr>
        <w:pStyle w:val="ListBullet"/>
      </w:pPr>
      <w:r>
        <w:t>Une intégration BNEC ne doit être ouverte qu'après les validations requises.</w:t>
      </w:r>
    </w:p>
    <w:p>
      <w:pPr>
        <w:pStyle w:val="ListBullet"/>
      </w:pPr>
      <w:r>
        <w:t>Toute correction importante doit rester visible dans l'historique.</w:t>
      </w:r>
    </w:p>
    <w:p>
      <w:pPr>
        <w:pStyle w:val="Heading3"/>
      </w:pPr>
      <w:r>
        <w:t>Figure 1 - Parcours global d'une certification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F2F7F5"/>
            <w:tcMar>
              <w:top w:w="850" w:type="dxa"/>
              <w:start w:w="180" w:type="dxa"/>
              <w:bottom w:w="850" w:type="dxa"/>
              <w:end w:w="180" w:type="dxa"/>
            </w:tcMar>
            <w:tcBorders>
              <w:top w:val="single" w:sz="6" w:color="9EC8B9"/>
              <w:left w:val="single" w:sz="6" w:color="9EC8B9"/>
              <w:bottom w:val="single" w:sz="6" w:color="9EC8B9"/>
              <w:right w:val="single" w:sz="6" w:color="9EC8B9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87659"/>
                <w:sz w:val="22"/>
              </w:rPr>
              <w:t>CAPTURE D'ÉCRAN À INSÉRER</w:t>
            </w:r>
          </w:p>
          <w:p>
            <w:pPr>
              <w:jc w:val="center"/>
            </w:pPr>
            <w:r>
              <w:rPr>
                <w:rFonts w:ascii="Aptos" w:hAnsi="Aptos"/>
                <w:i/>
                <w:color w:val="627A72"/>
                <w:sz w:val="17"/>
              </w:rPr>
              <w:t>Masquer les données nominatives, identifiants, adresses électroniques et informations sensibles.</w:t>
            </w:r>
          </w:p>
        </w:tc>
      </w:tr>
    </w:tbl>
    <w:p>
      <w:pPr>
        <w:spacing w:before="60" w:after="200"/>
      </w:pPr>
      <w:r>
        <w:rPr>
          <w:rFonts w:ascii="Aptos" w:hAnsi="Aptos"/>
          <w:b/>
          <w:color w:val="064A3A"/>
          <w:sz w:val="17"/>
        </w:rPr>
        <w:t xml:space="preserve">Légende à compléter : </w:t>
      </w:r>
      <w:r>
        <w:rPr>
          <w:rFonts w:ascii="Aptos" w:hAnsi="Aptos"/>
          <w:color w:val="627A72"/>
          <w:sz w:val="17"/>
        </w:rPr>
        <w:t>Identifier les étapes, le statut courant, les actions autorisées et le lien vers l'historique.</w:t>
      </w:r>
    </w:p>
    <w:p>
      <w:r>
        <w:br w:type="page"/>
      </w:r>
    </w:p>
    <w:p>
      <w:pPr>
        <w:pStyle w:val="Heading1"/>
      </w:pPr>
      <w:r>
        <w:t>2. Connexion, sécurité et verrouillage de session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BUT DU CHAPITRE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Accéder au système de manière sécurisée et protéger sa session de travail.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Utilisateurs concernés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Tous les utilisateurs disposant d'un compte actif.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Prérequis</w:t>
            </w:r>
          </w:p>
        </w:tc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Adresse professionnelle, mot de passe et, si activée, application MFA.</w:t>
            </w:r>
          </w:p>
        </w:tc>
      </w:tr>
    </w:tbl>
    <w:p>
      <w:pPr>
        <w:spacing w:after="40"/>
      </w:pPr>
    </w:p>
    <w:p>
      <w:pPr>
        <w:pStyle w:val="Heading2"/>
      </w:pPr>
      <w:r>
        <w:t>Se connecter</w:t>
      </w:r>
    </w:p>
    <w:p>
      <w:pPr>
        <w:pStyle w:val="ListNumber"/>
      </w:pPr>
      <w:r>
        <w:t>Ouvrir la page de connexion.</w:t>
      </w:r>
    </w:p>
    <w:p>
      <w:pPr>
        <w:pStyle w:val="ListNumber"/>
      </w:pPr>
      <w:r>
        <w:t>Saisir l'adresse professionnelle et le mot de passe.</w:t>
      </w:r>
    </w:p>
    <w:p>
      <w:pPr>
        <w:pStyle w:val="ListNumber"/>
      </w:pPr>
      <w:r>
        <w:t>Saisir le code temporaire MFA lorsqu'il est demandé.</w:t>
      </w:r>
    </w:p>
    <w:p>
      <w:pPr>
        <w:pStyle w:val="ListNumber"/>
      </w:pPr>
      <w:r>
        <w:t>Vérifier que le tableau de bord et votre nom s'affichent.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La session est ouverte avec les droits associés à votre rôle.</w:t>
            </w:r>
          </w:p>
        </w:tc>
      </w:tr>
    </w:tbl>
    <w:p>
      <w:pPr>
        <w:spacing w:after="40"/>
      </w:pPr>
    </w:p>
    <w:p>
      <w:pPr>
        <w:pStyle w:val="Heading2"/>
      </w:pPr>
      <w:r>
        <w:t>Récupérer l'accès</w:t>
      </w:r>
    </w:p>
    <w:p>
      <w:pPr>
        <w:pStyle w:val="ListNumber"/>
      </w:pPr>
      <w:r>
        <w:t>Choisir « Mot de passe oublié ».</w:t>
      </w:r>
    </w:p>
    <w:p>
      <w:pPr>
        <w:pStyle w:val="ListNumber"/>
      </w:pPr>
      <w:r>
        <w:t>Saisir votre adresse professionnelle.</w:t>
      </w:r>
    </w:p>
    <w:p>
      <w:pPr>
        <w:pStyle w:val="ListNumber"/>
      </w:pPr>
      <w:r>
        <w:t>Ouvrir le lien temporaire reçu par courriel.</w:t>
      </w:r>
    </w:p>
    <w:p>
      <w:pPr>
        <w:pStyle w:val="ListNumber"/>
      </w:pPr>
      <w:r>
        <w:t>Définir un nouveau mot de passe et reconnectez-vous.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Le lien est à usage unique ; les anciennes sessions peuvent être révoquées.</w:t>
            </w:r>
          </w:p>
        </w:tc>
      </w:tr>
    </w:tbl>
    <w:p>
      <w:pPr>
        <w:spacing w:after="40"/>
      </w:pPr>
    </w:p>
    <w:p>
      <w:pPr>
        <w:pStyle w:val="Heading2"/>
      </w:pPr>
      <w:r>
        <w:t>Déverrouiller une session</w:t>
      </w:r>
    </w:p>
    <w:p>
      <w:pPr>
        <w:pStyle w:val="ListNumber"/>
      </w:pPr>
      <w:r>
        <w:t>Saisir le code privé configuré lorsque l'écran de verrouillage apparaît.</w:t>
      </w:r>
    </w:p>
    <w:p>
      <w:pPr>
        <w:pStyle w:val="ListNumber"/>
      </w:pPr>
      <w:r>
        <w:t>Vérifier l'avatar ou les initiales affichés.</w:t>
      </w:r>
    </w:p>
    <w:p>
      <w:pPr>
        <w:pStyle w:val="ListNumber"/>
      </w:pPr>
      <w:r>
        <w:t>Après déverrouillage, reprendre le travail sur la même page.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La session reprend sans perdre le contexte de travail.</w:t>
            </w:r>
          </w:p>
        </w:tc>
      </w:tr>
    </w:tbl>
    <w:p>
      <w:pPr>
        <w:spacing w:after="40"/>
      </w:pPr>
    </w:p>
    <w:p>
      <w:pPr>
        <w:pStyle w:val="Heading2"/>
      </w:pPr>
      <w:r>
        <w:t>Points d'attention</w:t>
      </w:r>
    </w:p>
    <w:p>
      <w:pPr>
        <w:pStyle w:val="ListBullet"/>
      </w:pPr>
      <w:r>
        <w:t>Ne jamais communiquer un code MFA ou un code de récupération.</w:t>
      </w:r>
    </w:p>
    <w:p>
      <w:pPr>
        <w:pStyle w:val="ListBullet"/>
      </w:pPr>
      <w:r>
        <w:t>Après plusieurs codes de verrouillage erronés, une déconnexion peut être imposée.</w:t>
      </w:r>
    </w:p>
    <w:p>
      <w:pPr>
        <w:pStyle w:val="ListBullet"/>
      </w:pPr>
      <w:r>
        <w:t>Se déconnecter manuellement en quittant un poste partagé.</w:t>
      </w:r>
    </w:p>
    <w:p>
      <w:pPr>
        <w:pStyle w:val="Heading3"/>
      </w:pPr>
      <w:r>
        <w:t>Figure 2 - Connexion et verrouillage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F2F7F5"/>
            <w:tcMar>
              <w:top w:w="850" w:type="dxa"/>
              <w:start w:w="180" w:type="dxa"/>
              <w:bottom w:w="850" w:type="dxa"/>
              <w:end w:w="180" w:type="dxa"/>
            </w:tcMar>
            <w:tcBorders>
              <w:top w:val="single" w:sz="6" w:color="9EC8B9"/>
              <w:left w:val="single" w:sz="6" w:color="9EC8B9"/>
              <w:bottom w:val="single" w:sz="6" w:color="9EC8B9"/>
              <w:right w:val="single" w:sz="6" w:color="9EC8B9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87659"/>
                <w:sz w:val="22"/>
              </w:rPr>
              <w:t>CAPTURE D'ÉCRAN À INSÉRER</w:t>
            </w:r>
          </w:p>
          <w:p>
            <w:pPr>
              <w:jc w:val="center"/>
            </w:pPr>
            <w:r>
              <w:rPr>
                <w:rFonts w:ascii="Aptos" w:hAnsi="Aptos"/>
                <w:i/>
                <w:color w:val="627A72"/>
                <w:sz w:val="17"/>
              </w:rPr>
              <w:t>Masquer les données nominatives, identifiants, adresses électroniques et informations sensibles.</w:t>
            </w:r>
          </w:p>
        </w:tc>
      </w:tr>
    </w:tbl>
    <w:p>
      <w:pPr>
        <w:spacing w:before="60" w:after="200"/>
      </w:pPr>
      <w:r>
        <w:rPr>
          <w:rFonts w:ascii="Aptos" w:hAnsi="Aptos"/>
          <w:b/>
          <w:color w:val="064A3A"/>
          <w:sz w:val="17"/>
        </w:rPr>
        <w:t xml:space="preserve">Légende à compléter : </w:t>
      </w:r>
      <w:r>
        <w:rPr>
          <w:rFonts w:ascii="Aptos" w:hAnsi="Aptos"/>
          <w:color w:val="627A72"/>
          <w:sz w:val="17"/>
        </w:rPr>
        <w:t>Repérer les champs de connexion, l'accès MFA, le bouton mot de passe oublié et le verrouillage de session.</w:t>
      </w:r>
    </w:p>
    <w:p>
      <w:r>
        <w:br w:type="page"/>
      </w:r>
    </w:p>
    <w:p>
      <w:pPr>
        <w:pStyle w:val="Heading1"/>
      </w:pPr>
      <w:r>
        <w:t>3. Profil, préférences et notifications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BUT DU CHAPITRE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Maintenir son identité professionnelle et configurer les préférences de travail sans modifier ses propres permissions.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Utilisateurs concernés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Tous les utilisateurs habilités.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Prérequis</w:t>
            </w:r>
          </w:p>
        </w:tc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Être connecté ; disposer des informations personnelles à jour.</w:t>
            </w:r>
          </w:p>
        </w:tc>
      </w:tr>
    </w:tbl>
    <w:p>
      <w:pPr>
        <w:spacing w:after="40"/>
      </w:pPr>
    </w:p>
    <w:p>
      <w:pPr>
        <w:pStyle w:val="Heading2"/>
      </w:pPr>
      <w:r>
        <w:t>Mettre à jour son profil</w:t>
      </w:r>
    </w:p>
    <w:p>
      <w:pPr>
        <w:pStyle w:val="ListNumber"/>
      </w:pPr>
      <w:r>
        <w:t>Ouvrir le menu utilisateur puis « Mon profil ».</w:t>
      </w:r>
    </w:p>
    <w:p>
      <w:pPr>
        <w:pStyle w:val="ListNumber"/>
      </w:pPr>
      <w:r>
        <w:t>Corriger les coordonnées autorisées.</w:t>
      </w:r>
    </w:p>
    <w:p>
      <w:pPr>
        <w:pStyle w:val="ListNumber"/>
      </w:pPr>
      <w:r>
        <w:t>Enregistrer et vérifier le message de confirmation.</w:t>
      </w:r>
    </w:p>
    <w:p>
      <w:pPr>
        <w:pStyle w:val="ListNumber"/>
      </w:pPr>
      <w:r>
        <w:t>Ajouter une photo si nécessaire ; l'application conserve les initiales en solution de secours.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Le profil, la navbar et l'écran de verrouillage présentent une identité cohérente.</w:t>
            </w:r>
          </w:p>
        </w:tc>
      </w:tr>
    </w:tbl>
    <w:p>
      <w:pPr>
        <w:spacing w:after="40"/>
      </w:pPr>
    </w:p>
    <w:p>
      <w:pPr>
        <w:pStyle w:val="Heading2"/>
      </w:pPr>
      <w:r>
        <w:t>Régler l'actualisation automatique</w:t>
      </w:r>
    </w:p>
    <w:p>
      <w:pPr>
        <w:pStyle w:val="ListNumber"/>
      </w:pPr>
      <w:r>
        <w:t>Ouvrir les préférences de profil.</w:t>
      </w:r>
    </w:p>
    <w:p>
      <w:pPr>
        <w:pStyle w:val="ListNumber"/>
      </w:pPr>
      <w:r>
        <w:t>Activer ou désactiver l'actualisation automatique.</w:t>
      </w:r>
    </w:p>
    <w:p>
      <w:pPr>
        <w:pStyle w:val="ListNumber"/>
      </w:pPr>
      <w:r>
        <w:t>Choisir un intervalle proposé : 15, 30, 60, 120 ou 300 secondes.</w:t>
      </w:r>
    </w:p>
    <w:p>
      <w:pPr>
        <w:pStyle w:val="ListNumber"/>
      </w:pPr>
      <w:r>
        <w:t>Utiliser le bouton Actualiser pour un rechargement immédiat.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L'utilisateur maîtrise le rafraîchissement de son écran sans perdre le bouton de contrôle manuel.</w:t>
            </w:r>
          </w:p>
        </w:tc>
      </w:tr>
    </w:tbl>
    <w:p>
      <w:pPr>
        <w:spacing w:after="40"/>
      </w:pPr>
    </w:p>
    <w:p>
      <w:pPr>
        <w:pStyle w:val="Heading2"/>
      </w:pPr>
      <w:r>
        <w:t>Traiter les notifications</w:t>
      </w:r>
    </w:p>
    <w:p>
      <w:pPr>
        <w:pStyle w:val="ListNumber"/>
      </w:pPr>
      <w:r>
        <w:t>Ouvrir la cloche de la navbar.</w:t>
      </w:r>
    </w:p>
    <w:p>
      <w:pPr>
        <w:pStyle w:val="ListNumber"/>
      </w:pPr>
      <w:r>
        <w:t>Lire la notification et ouvrir la ressource concernée.</w:t>
      </w:r>
    </w:p>
    <w:p>
      <w:pPr>
        <w:pStyle w:val="ListNumber"/>
      </w:pPr>
      <w:r>
        <w:t>Marquer la notification comme lue après traitement.</w:t>
      </w:r>
    </w:p>
    <w:p>
      <w:pPr>
        <w:pStyle w:val="ListNumber"/>
      </w:pPr>
      <w:r>
        <w:t>Utiliser « Tout marquer comme lu » seulement après vérification.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Les messages non lus correspondent aux traitements réellement à suivre.</w:t>
            </w:r>
          </w:p>
        </w:tc>
      </w:tr>
    </w:tbl>
    <w:p>
      <w:pPr>
        <w:spacing w:after="40"/>
      </w:pPr>
    </w:p>
    <w:p>
      <w:pPr>
        <w:pStyle w:val="Heading2"/>
      </w:pPr>
      <w:r>
        <w:t>Points d'attention</w:t>
      </w:r>
    </w:p>
    <w:p>
      <w:pPr>
        <w:pStyle w:val="ListBullet"/>
      </w:pPr>
      <w:r>
        <w:t>Les préférences ne donnent pas de nouveaux droits.</w:t>
      </w:r>
    </w:p>
    <w:p>
      <w:pPr>
        <w:pStyle w:val="ListBullet"/>
      </w:pPr>
      <w:r>
        <w:t>Une photo de profil doit rester professionnelle et ne contenir aucune donnée sensible.</w:t>
      </w:r>
    </w:p>
    <w:p>
      <w:pPr>
        <w:pStyle w:val="ListBullet"/>
      </w:pPr>
      <w:r>
        <w:t>Une actualisation peut remplacer des modifications non enregistrées : enregistrer avant de rafraîchir.</w:t>
      </w:r>
    </w:p>
    <w:p>
      <w:pPr>
        <w:pStyle w:val="Heading3"/>
      </w:pPr>
      <w:r>
        <w:t>Figure 3 - Profil et préférences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F2F7F5"/>
            <w:tcMar>
              <w:top w:w="850" w:type="dxa"/>
              <w:start w:w="180" w:type="dxa"/>
              <w:bottom w:w="850" w:type="dxa"/>
              <w:end w:w="180" w:type="dxa"/>
            </w:tcMar>
            <w:tcBorders>
              <w:top w:val="single" w:sz="6" w:color="9EC8B9"/>
              <w:left w:val="single" w:sz="6" w:color="9EC8B9"/>
              <w:bottom w:val="single" w:sz="6" w:color="9EC8B9"/>
              <w:right w:val="single" w:sz="6" w:color="9EC8B9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87659"/>
                <w:sz w:val="22"/>
              </w:rPr>
              <w:t>CAPTURE D'ÉCRAN À INSÉRER</w:t>
            </w:r>
          </w:p>
          <w:p>
            <w:pPr>
              <w:jc w:val="center"/>
            </w:pPr>
            <w:r>
              <w:rPr>
                <w:rFonts w:ascii="Aptos" w:hAnsi="Aptos"/>
                <w:i/>
                <w:color w:val="627A72"/>
                <w:sz w:val="17"/>
              </w:rPr>
              <w:t>Masquer les données nominatives, identifiants, adresses électroniques et informations sensibles.</w:t>
            </w:r>
          </w:p>
        </w:tc>
      </w:tr>
    </w:tbl>
    <w:p>
      <w:pPr>
        <w:spacing w:before="60" w:after="200"/>
      </w:pPr>
      <w:r>
        <w:rPr>
          <w:rFonts w:ascii="Aptos" w:hAnsi="Aptos"/>
          <w:b/>
          <w:color w:val="064A3A"/>
          <w:sz w:val="17"/>
        </w:rPr>
        <w:t xml:space="preserve">Légende à compléter : </w:t>
      </w:r>
      <w:r>
        <w:rPr>
          <w:rFonts w:ascii="Aptos" w:hAnsi="Aptos"/>
          <w:color w:val="627A72"/>
          <w:sz w:val="17"/>
        </w:rPr>
        <w:t>Repérer la photo, les onglets de sécurité, les paramètres de rafraîchissement et les notifications.</w:t>
      </w:r>
    </w:p>
    <w:p>
      <w:r>
        <w:br w:type="page"/>
      </w:r>
    </w:p>
    <w:p>
      <w:pPr>
        <w:pStyle w:val="Heading1"/>
      </w:pPr>
      <w:r>
        <w:t>4. Tableau de bord, alertes et échéances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BUT DU CHAPITRE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Prioriser le travail quotidien à partir des indicateurs, alertes et rendez-vous de suivi.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Utilisateurs concernés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Tous les rôles selon leurs droits de consultation et de traitement.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Prérequis</w:t>
            </w:r>
          </w:p>
        </w:tc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Être connecté ; disposer d'au moins une donnée visible dans le périmètre utilisateur.</w:t>
            </w:r>
          </w:p>
        </w:tc>
      </w:tr>
    </w:tbl>
    <w:p>
      <w:pPr>
        <w:spacing w:after="40"/>
      </w:pPr>
    </w:p>
    <w:p>
      <w:pPr>
        <w:pStyle w:val="Heading2"/>
      </w:pPr>
      <w:r>
        <w:t>Lire le tableau de bord</w:t>
      </w:r>
    </w:p>
    <w:p>
      <w:pPr>
        <w:pStyle w:val="ListNumber"/>
      </w:pPr>
      <w:r>
        <w:t>Observer les indicateurs et leur période de référence.</w:t>
      </w:r>
    </w:p>
    <w:p>
      <w:pPr>
        <w:pStyle w:val="ListNumber"/>
      </w:pPr>
      <w:r>
        <w:t>Utiliser les filtres disponibles avant d'interpréter un résultat.</w:t>
      </w:r>
    </w:p>
    <w:p>
      <w:pPr>
        <w:pStyle w:val="ListNumber"/>
      </w:pPr>
      <w:r>
        <w:t>Ouvrir une carte ou une ligne lorsque l'action doit être traitée.</w:t>
      </w:r>
    </w:p>
    <w:p>
      <w:pPr>
        <w:pStyle w:val="ListNumber"/>
      </w:pPr>
      <w:r>
        <w:t>Actualiser si une mise à jour récente est attendue.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Les priorités et leur origine sont identifiées avant intervention.</w:t>
            </w:r>
          </w:p>
        </w:tc>
      </w:tr>
    </w:tbl>
    <w:p>
      <w:pPr>
        <w:spacing w:after="40"/>
      </w:pPr>
    </w:p>
    <w:p>
      <w:pPr>
        <w:pStyle w:val="Heading2"/>
      </w:pPr>
      <w:r>
        <w:t>Traiter une alerte</w:t>
      </w:r>
    </w:p>
    <w:p>
      <w:pPr>
        <w:pStyle w:val="ListNumber"/>
      </w:pPr>
      <w:r>
        <w:t>Ouvrir la liste des alertes.</w:t>
      </w:r>
    </w:p>
    <w:p>
      <w:pPr>
        <w:pStyle w:val="ListNumber"/>
      </w:pPr>
      <w:r>
        <w:t>Lire le titre, la source, la priorité et le délai.</w:t>
      </w:r>
    </w:p>
    <w:p>
      <w:pPr>
        <w:pStyle w:val="ListNumber"/>
      </w:pPr>
      <w:r>
        <w:t>Affecter un responsable si votre rôle le permet.</w:t>
      </w:r>
    </w:p>
    <w:p>
      <w:pPr>
        <w:pStyle w:val="ListNumber"/>
      </w:pPr>
      <w:r>
        <w:t>Ouvrir la ressource liée, effectuer l'action, puis résoudre l'alerte avec une trace.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L'alerte est soit traitée, soit affectée, soit maintenue ouverte avec un responsable identifié.</w:t>
            </w:r>
          </w:p>
        </w:tc>
      </w:tr>
    </w:tbl>
    <w:p>
      <w:pPr>
        <w:spacing w:after="40"/>
      </w:pPr>
    </w:p>
    <w:p>
      <w:pPr>
        <w:pStyle w:val="Heading2"/>
      </w:pPr>
      <w:r>
        <w:t>Gérer une échéance</w:t>
      </w:r>
    </w:p>
    <w:p>
      <w:pPr>
        <w:pStyle w:val="ListNumber"/>
      </w:pPr>
      <w:r>
        <w:t>Ouvrir le calendrier ou la liste globale des échéances.</w:t>
      </w:r>
    </w:p>
    <w:p>
      <w:pPr>
        <w:pStyle w:val="ListNumber"/>
      </w:pPr>
      <w:r>
        <w:t>Sélectionner l'échéance pour consulter ses détails.</w:t>
      </w:r>
    </w:p>
    <w:p>
      <w:pPr>
        <w:pStyle w:val="ListNumber"/>
      </w:pPr>
      <w:r>
        <w:t>Terminer ou annuler l'échéance en motivant la décision.</w:t>
      </w:r>
    </w:p>
    <w:p>
      <w:pPr>
        <w:pStyle w:val="ListNumber"/>
      </w:pPr>
      <w:r>
        <w:t>Vérifier que la mention d'exécution apparaît sur le calendrier.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L'action est journalisée et les rappels restent cohérents avec le statut du dossier.</w:t>
            </w:r>
          </w:p>
        </w:tc>
      </w:tr>
    </w:tbl>
    <w:p>
      <w:pPr>
        <w:spacing w:after="40"/>
      </w:pPr>
    </w:p>
    <w:p>
      <w:pPr>
        <w:pStyle w:val="Heading2"/>
      </w:pPr>
      <w:r>
        <w:t>Points d'attention</w:t>
      </w:r>
    </w:p>
    <w:p>
      <w:pPr>
        <w:pStyle w:val="ListBullet"/>
      </w:pPr>
      <w:r>
        <w:t>Les seuils usuels de veille sont 180, 90, 30 jours et l'expiration.</w:t>
      </w:r>
    </w:p>
    <w:p>
      <w:pPr>
        <w:pStyle w:val="ListBullet"/>
      </w:pPr>
      <w:r>
        <w:t>Ne clôturez pas une échéance de renouvellement sans justificatif ou décision motivée.</w:t>
      </w:r>
    </w:p>
    <w:p>
      <w:pPr>
        <w:pStyle w:val="ListBullet"/>
      </w:pPr>
      <w:r>
        <w:t>Une alerte ne remplace pas la consultation du dossier source.</w:t>
      </w:r>
    </w:p>
    <w:p>
      <w:pPr>
        <w:pStyle w:val="Heading3"/>
      </w:pPr>
      <w:r>
        <w:t>Figure 4 - Alertes et échéances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F2F7F5"/>
            <w:tcMar>
              <w:top w:w="850" w:type="dxa"/>
              <w:start w:w="180" w:type="dxa"/>
              <w:bottom w:w="850" w:type="dxa"/>
              <w:end w:w="180" w:type="dxa"/>
            </w:tcMar>
            <w:tcBorders>
              <w:top w:val="single" w:sz="6" w:color="9EC8B9"/>
              <w:left w:val="single" w:sz="6" w:color="9EC8B9"/>
              <w:bottom w:val="single" w:sz="6" w:color="9EC8B9"/>
              <w:right w:val="single" w:sz="6" w:color="9EC8B9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87659"/>
                <w:sz w:val="22"/>
              </w:rPr>
              <w:t>CAPTURE D'ÉCRAN À INSÉRER</w:t>
            </w:r>
          </w:p>
          <w:p>
            <w:pPr>
              <w:jc w:val="center"/>
            </w:pPr>
            <w:r>
              <w:rPr>
                <w:rFonts w:ascii="Aptos" w:hAnsi="Aptos"/>
                <w:i/>
                <w:color w:val="627A72"/>
                <w:sz w:val="17"/>
              </w:rPr>
              <w:t>Masquer les données nominatives, identifiants, adresses électroniques et informations sensibles.</w:t>
            </w:r>
          </w:p>
        </w:tc>
      </w:tr>
    </w:tbl>
    <w:p>
      <w:pPr>
        <w:spacing w:before="60" w:after="200"/>
      </w:pPr>
      <w:r>
        <w:rPr>
          <w:rFonts w:ascii="Aptos" w:hAnsi="Aptos"/>
          <w:b/>
          <w:color w:val="064A3A"/>
          <w:sz w:val="17"/>
        </w:rPr>
        <w:t xml:space="preserve">Légende à compléter : </w:t>
      </w:r>
      <w:r>
        <w:rPr>
          <w:rFonts w:ascii="Aptos" w:hAnsi="Aptos"/>
          <w:color w:val="627A72"/>
          <w:sz w:val="17"/>
        </w:rPr>
        <w:t>Repérer les filtres, le calendrier, les priorités, la ressource source et les boutons de traitement.</w:t>
      </w:r>
    </w:p>
    <w:p>
      <w:r>
        <w:br w:type="page"/>
      </w:r>
    </w:p>
    <w:p>
      <w:pPr>
        <w:pStyle w:val="Heading1"/>
      </w:pPr>
      <w:r>
        <w:t>5. Registre national : entreprises, organismes, zones et certifications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BUT DU CHAPITRE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Consulter et maintenir les données de référence sans créer de doublons.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Utilisateurs concernés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Agents habilités du registre, vérificateurs, points focaux et administrateurs.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Prérequis</w:t>
            </w:r>
          </w:p>
        </w:tc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Rechercher l'existant avant toute création.</w:t>
            </w:r>
          </w:p>
        </w:tc>
      </w:tr>
    </w:tbl>
    <w:p>
      <w:pPr>
        <w:spacing w:after="40"/>
      </w:pPr>
    </w:p>
    <w:p>
      <w:pPr>
        <w:pStyle w:val="Heading2"/>
      </w:pPr>
      <w:r>
        <w:t>Créer ou compléter une entreprise</w:t>
      </w:r>
    </w:p>
    <w:p>
      <w:pPr>
        <w:pStyle w:val="ListNumber"/>
      </w:pPr>
      <w:r>
        <w:t>Rechercher par raison sociale, identifiant, RCCM ou NIF.</w:t>
      </w:r>
    </w:p>
    <w:p>
      <w:pPr>
        <w:pStyle w:val="ListNumber"/>
      </w:pPr>
      <w:r>
        <w:t>Ouvrir l'entreprise trouvée ou choisir la création si aucun résultat fiable n'existe.</w:t>
      </w:r>
    </w:p>
    <w:p>
      <w:pPr>
        <w:pStyle w:val="ListNumber"/>
      </w:pPr>
      <w:r>
        <w:t>Saisir les informations justifiées et associer la zone administrative.</w:t>
      </w:r>
    </w:p>
    <w:p>
      <w:pPr>
        <w:pStyle w:val="ListNumber"/>
      </w:pPr>
      <w:r>
        <w:t>Enregistrer puis consulter l'historique de l'entreprise.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Une seule fiche entreprise fiable est maintenue dans le registre.</w:t>
            </w:r>
          </w:p>
        </w:tc>
      </w:tr>
    </w:tbl>
    <w:p>
      <w:pPr>
        <w:spacing w:after="40"/>
      </w:pPr>
    </w:p>
    <w:p>
      <w:pPr>
        <w:pStyle w:val="Heading2"/>
      </w:pPr>
      <w:r>
        <w:t>Gérer une certification</w:t>
      </w:r>
    </w:p>
    <w:p>
      <w:pPr>
        <w:pStyle w:val="ListNumber"/>
      </w:pPr>
      <w:r>
        <w:t>Depuis l'entreprise, consulter les certifications liées.</w:t>
      </w:r>
    </w:p>
    <w:p>
      <w:pPr>
        <w:pStyle w:val="ListNumber"/>
      </w:pPr>
      <w:r>
        <w:t>Créer la certification avec le référentiel, l'organisme, les dates et la portée.</w:t>
      </w:r>
    </w:p>
    <w:p>
      <w:pPr>
        <w:pStyle w:val="ListNumber"/>
      </w:pPr>
      <w:r>
        <w:t>Joindre ou associer les justificatifs disponibles.</w:t>
      </w:r>
    </w:p>
    <w:p>
      <w:pPr>
        <w:pStyle w:val="ListNumber"/>
      </w:pPr>
      <w:r>
        <w:t>Utiliser le parcours de renouvellement lorsque la certification est reconduite.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La certification est rattachée au bon titulaire et ses échéances peuvent être suivies.</w:t>
            </w:r>
          </w:p>
        </w:tc>
      </w:tr>
    </w:tbl>
    <w:p>
      <w:pPr>
        <w:spacing w:after="40"/>
      </w:pPr>
    </w:p>
    <w:p>
      <w:pPr>
        <w:pStyle w:val="Heading2"/>
      </w:pPr>
      <w:r>
        <w:t>Précréer un organisme</w:t>
      </w:r>
    </w:p>
    <w:p>
      <w:pPr>
        <w:pStyle w:val="ListNumber"/>
      </w:pPr>
      <w:r>
        <w:t>Lorsqu'un organisme certificateur est absent, utiliser la précréation autorisée.</w:t>
      </w:r>
    </w:p>
    <w:p>
      <w:pPr>
        <w:pStyle w:val="ListNumber"/>
      </w:pPr>
      <w:r>
        <w:t>Renseigner le nom connu et les coordonnées disponibles.</w:t>
      </w:r>
    </w:p>
    <w:p>
      <w:pPr>
        <w:pStyle w:val="ListNumber"/>
      </w:pPr>
      <w:r>
        <w:t>Conserver le statut incomplet jusqu'à vérification.</w:t>
      </w:r>
    </w:p>
    <w:p>
      <w:pPr>
        <w:pStyle w:val="ListNumber"/>
      </w:pPr>
      <w:r>
        <w:t>Compléter ultérieurement la fiche depuis le registre.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La collecte peut avancer sans inventer de données définitives.</w:t>
            </w:r>
          </w:p>
        </w:tc>
      </w:tr>
    </w:tbl>
    <w:p>
      <w:pPr>
        <w:spacing w:after="40"/>
      </w:pPr>
    </w:p>
    <w:p>
      <w:pPr>
        <w:pStyle w:val="Heading2"/>
      </w:pPr>
      <w:r>
        <w:t>Points d'attention</w:t>
      </w:r>
    </w:p>
    <w:p>
      <w:pPr>
        <w:pStyle w:val="ListBullet"/>
      </w:pPr>
      <w:r>
        <w:t>Une création incomplète doit être complétée, non oubliée.</w:t>
      </w:r>
    </w:p>
    <w:p>
      <w:pPr>
        <w:pStyle w:val="ListBullet"/>
      </w:pPr>
      <w:r>
        <w:t>Les dates de début et d'expiration alimentent les échéances lorsqu'elles sont validées.</w:t>
      </w:r>
    </w:p>
    <w:p>
      <w:pPr>
        <w:pStyle w:val="ListBullet"/>
      </w:pPr>
      <w:r>
        <w:t>Éviter les doublons par recherche préalable et rapprochement.</w:t>
      </w:r>
    </w:p>
    <w:p>
      <w:pPr>
        <w:pStyle w:val="Heading3"/>
      </w:pPr>
      <w:r>
        <w:t>Figure 5 - Fiche entreprise et certification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F2F7F5"/>
            <w:tcMar>
              <w:top w:w="850" w:type="dxa"/>
              <w:start w:w="180" w:type="dxa"/>
              <w:bottom w:w="850" w:type="dxa"/>
              <w:end w:w="180" w:type="dxa"/>
            </w:tcMar>
            <w:tcBorders>
              <w:top w:val="single" w:sz="6" w:color="9EC8B9"/>
              <w:left w:val="single" w:sz="6" w:color="9EC8B9"/>
              <w:bottom w:val="single" w:sz="6" w:color="9EC8B9"/>
              <w:right w:val="single" w:sz="6" w:color="9EC8B9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87659"/>
                <w:sz w:val="22"/>
              </w:rPr>
              <w:t>CAPTURE D'ÉCRAN À INSÉRER</w:t>
            </w:r>
          </w:p>
          <w:p>
            <w:pPr>
              <w:jc w:val="center"/>
            </w:pPr>
            <w:r>
              <w:rPr>
                <w:rFonts w:ascii="Aptos" w:hAnsi="Aptos"/>
                <w:i/>
                <w:color w:val="627A72"/>
                <w:sz w:val="17"/>
              </w:rPr>
              <w:t>Masquer les données nominatives, identifiants, adresses électroniques et informations sensibles.</w:t>
            </w:r>
          </w:p>
        </w:tc>
      </w:tr>
    </w:tbl>
    <w:p>
      <w:pPr>
        <w:spacing w:before="60" w:after="200"/>
      </w:pPr>
      <w:r>
        <w:rPr>
          <w:rFonts w:ascii="Aptos" w:hAnsi="Aptos"/>
          <w:b/>
          <w:color w:val="064A3A"/>
          <w:sz w:val="17"/>
        </w:rPr>
        <w:t xml:space="preserve">Légende à compléter : </w:t>
      </w:r>
      <w:r>
        <w:rPr>
          <w:rFonts w:ascii="Aptos" w:hAnsi="Aptos"/>
          <w:color w:val="627A72"/>
          <w:sz w:val="17"/>
        </w:rPr>
        <w:t>Repérer les onglets, le statut, l'historique, les documents, les certifications et les actions de modification.</w:t>
      </w:r>
    </w:p>
    <w:p>
      <w:r>
        <w:br w:type="page"/>
      </w:r>
    </w:p>
    <w:p>
      <w:pPr>
        <w:pStyle w:val="Heading1"/>
      </w:pPr>
      <w:r>
        <w:t>6. Collecte : campagnes, missions, déclarations et preuves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BUT DU CHAPITRE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Constituer une fiche de collecte complète et soumettre un dossier exploitable aux étapes suivantes.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Utilisateurs concernés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Agent de collecte, superviseur ou point focal selon les permissions.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Prérequis</w:t>
            </w:r>
          </w:p>
        </w:tc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Campagne ou mission disponible ; entreprise existante ou précréation autorisée.</w:t>
            </w:r>
          </w:p>
        </w:tc>
      </w:tr>
    </w:tbl>
    <w:p>
      <w:pPr>
        <w:spacing w:after="40"/>
      </w:pPr>
    </w:p>
    <w:p>
      <w:pPr>
        <w:pStyle w:val="Heading2"/>
      </w:pPr>
      <w:r>
        <w:t>Préparer une mission</w:t>
      </w:r>
    </w:p>
    <w:p>
      <w:pPr>
        <w:pStyle w:val="ListNumber"/>
      </w:pPr>
      <w:r>
        <w:t>Sélectionner une campagne existante ou créer la campagne si votre rôle l'autorise.</w:t>
      </w:r>
    </w:p>
    <w:p>
      <w:pPr>
        <w:pStyle w:val="ListNumber"/>
      </w:pPr>
      <w:r>
        <w:t>Renseigner la zone, les dates, la priorité et l'objet de la mission.</w:t>
      </w:r>
    </w:p>
    <w:p>
      <w:pPr>
        <w:pStyle w:val="ListNumber"/>
      </w:pPr>
      <w:r>
        <w:t>Affecter l'agent lorsque l'autorisation COLLECTE.AFFECTER est disponible.</w:t>
      </w:r>
    </w:p>
    <w:p>
      <w:pPr>
        <w:pStyle w:val="ListNumber"/>
      </w:pPr>
      <w:r>
        <w:t>Enregistrer avant de passer à l'étape entreprise.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La mission porte une référence, une zone, des dates et une responsabilité claire.</w:t>
            </w:r>
          </w:p>
        </w:tc>
      </w:tr>
    </w:tbl>
    <w:p>
      <w:pPr>
        <w:spacing w:after="40"/>
      </w:pPr>
    </w:p>
    <w:p>
      <w:pPr>
        <w:pStyle w:val="Heading2"/>
      </w:pPr>
      <w:r>
        <w:t>Saisir l'entreprise et le déclarant</w:t>
      </w:r>
    </w:p>
    <w:p>
      <w:pPr>
        <w:pStyle w:val="ListNumber"/>
      </w:pPr>
      <w:r>
        <w:t>Rechercher l'entreprise dans le registre.</w:t>
      </w:r>
    </w:p>
    <w:p>
      <w:pPr>
        <w:pStyle w:val="ListNumber"/>
      </w:pPr>
      <w:r>
        <w:t>Précréer une entreprise seulement si aucun résultat n'est fiable.</w:t>
      </w:r>
    </w:p>
    <w:p>
      <w:pPr>
        <w:pStyle w:val="ListNumber"/>
      </w:pPr>
      <w:r>
        <w:t>Renseigner le déclarant, sa fonction, ses contacts et le consentement.</w:t>
      </w:r>
    </w:p>
    <w:p>
      <w:pPr>
        <w:pStyle w:val="ListNumber"/>
      </w:pPr>
      <w:r>
        <w:t>Conserver une mention ou référence de signature lorsque le consentement est recueilli.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La fiche identifie le titulaire et l'interlocuteur ayant fourni les informations.</w:t>
            </w:r>
          </w:p>
        </w:tc>
      </w:tr>
    </w:tbl>
    <w:p>
      <w:pPr>
        <w:spacing w:after="40"/>
      </w:pPr>
    </w:p>
    <w:p>
      <w:pPr>
        <w:pStyle w:val="Heading2"/>
      </w:pPr>
      <w:r>
        <w:t>Déclarer les produits et certifications</w:t>
      </w:r>
    </w:p>
    <w:p>
      <w:pPr>
        <w:pStyle w:val="ListNumber"/>
      </w:pPr>
      <w:r>
        <w:t>Ajouter chaque produit ou service séparément avec catégorie, volume, unité et marchés visés.</w:t>
      </w:r>
    </w:p>
    <w:p>
      <w:pPr>
        <w:pStyle w:val="ListNumber"/>
      </w:pPr>
      <w:r>
        <w:t>Ajouter les certifications déclarées avec numéro, organisme, norme, dates et portée.</w:t>
      </w:r>
    </w:p>
    <w:p>
      <w:pPr>
        <w:pStyle w:val="ListNumber"/>
      </w:pPr>
      <w:r>
        <w:t>Choisir la situation actuelle : présente, absente, audit de surveillance, renouvellement, expirée ou audit initial.</w:t>
      </w:r>
    </w:p>
    <w:p>
      <w:pPr>
        <w:pStyle w:val="ListNumber"/>
      </w:pPr>
      <w:r>
        <w:t>Ne pas transformer cette déclaration terrain en certification BNEC officielle.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Les déclarations sont prêtes pour rapprochement et vérification.</w:t>
            </w:r>
          </w:p>
        </w:tc>
      </w:tr>
    </w:tbl>
    <w:p>
      <w:pPr>
        <w:spacing w:after="40"/>
      </w:pPr>
    </w:p>
    <w:p>
      <w:pPr>
        <w:pStyle w:val="Heading2"/>
      </w:pPr>
      <w:r>
        <w:t>Déposer les preuves et soumettre</w:t>
      </w:r>
    </w:p>
    <w:p>
      <w:pPr>
        <w:pStyle w:val="ListNumber"/>
      </w:pPr>
      <w:r>
        <w:t>Sélectionner les PDF ou images acceptés.</w:t>
      </w:r>
    </w:p>
    <w:p>
      <w:pPr>
        <w:pStyle w:val="ListNumber"/>
      </w:pPr>
      <w:r>
        <w:t>Vérifier que chaque fichier apparaît comme sélectionné avant envoi.</w:t>
      </w:r>
    </w:p>
    <w:p>
      <w:pPr>
        <w:pStyle w:val="ListNumber"/>
      </w:pPr>
      <w:r>
        <w:t>Saisir les observations utiles, puis consulter le contrôle final.</w:t>
      </w:r>
    </w:p>
    <w:p>
      <w:pPr>
        <w:pStyle w:val="ListNumber"/>
      </w:pPr>
      <w:r>
        <w:t>Soumettre la fiche seulement lorsque les informations essentielles sont cohérentes.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La fiche passe au statut de traitement suivant et les pièces restent rattachées au dossier.</w:t>
            </w:r>
          </w:p>
        </w:tc>
      </w:tr>
    </w:tbl>
    <w:p>
      <w:pPr>
        <w:spacing w:after="40"/>
      </w:pPr>
    </w:p>
    <w:p>
      <w:pPr>
        <w:pStyle w:val="Heading2"/>
      </w:pPr>
      <w:r>
        <w:t>Points d'attention</w:t>
      </w:r>
    </w:p>
    <w:p>
      <w:pPr>
        <w:pStyle w:val="ListBullet"/>
      </w:pPr>
      <w:r>
        <w:t>Le bouton Continuer crée la mission et met à jour l'URL de reprise : ne le relancez pas pour créer une seconde mission.</w:t>
      </w:r>
    </w:p>
    <w:p>
      <w:pPr>
        <w:pStyle w:val="ListBullet"/>
      </w:pPr>
      <w:r>
        <w:t>Une déclaration de certificat expiré doit être justifiée par les dates et la preuve disponible.</w:t>
      </w:r>
    </w:p>
    <w:p>
      <w:pPr>
        <w:pStyle w:val="ListBullet"/>
      </w:pPr>
      <w:r>
        <w:t>Enregistrer un brouillon avant de quitter une saisie longue.</w:t>
      </w:r>
    </w:p>
    <w:p>
      <w:pPr>
        <w:pStyle w:val="Heading3"/>
      </w:pPr>
      <w:r>
        <w:t>Figure 6 - Formulaire de collecte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F2F7F5"/>
            <w:tcMar>
              <w:top w:w="850" w:type="dxa"/>
              <w:start w:w="180" w:type="dxa"/>
              <w:bottom w:w="850" w:type="dxa"/>
              <w:end w:w="180" w:type="dxa"/>
            </w:tcMar>
            <w:tcBorders>
              <w:top w:val="single" w:sz="6" w:color="9EC8B9"/>
              <w:left w:val="single" w:sz="6" w:color="9EC8B9"/>
              <w:bottom w:val="single" w:sz="6" w:color="9EC8B9"/>
              <w:right w:val="single" w:sz="6" w:color="9EC8B9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87659"/>
                <w:sz w:val="22"/>
              </w:rPr>
              <w:t>CAPTURE D'ÉCRAN À INSÉRER</w:t>
            </w:r>
          </w:p>
          <w:p>
            <w:pPr>
              <w:jc w:val="center"/>
            </w:pPr>
            <w:r>
              <w:rPr>
                <w:rFonts w:ascii="Aptos" w:hAnsi="Aptos"/>
                <w:i/>
                <w:color w:val="627A72"/>
                <w:sz w:val="17"/>
              </w:rPr>
              <w:t>Masquer les données nominatives, identifiants, adresses électroniques et informations sensibles.</w:t>
            </w:r>
          </w:p>
        </w:tc>
      </w:tr>
    </w:tbl>
    <w:p>
      <w:pPr>
        <w:spacing w:before="60" w:after="200"/>
      </w:pPr>
      <w:r>
        <w:rPr>
          <w:rFonts w:ascii="Aptos" w:hAnsi="Aptos"/>
          <w:b/>
          <w:color w:val="064A3A"/>
          <w:sz w:val="17"/>
        </w:rPr>
        <w:t xml:space="preserve">Légende à compléter : </w:t>
      </w:r>
      <w:r>
        <w:rPr>
          <w:rFonts w:ascii="Aptos" w:hAnsi="Aptos"/>
          <w:color w:val="627A72"/>
          <w:sz w:val="17"/>
        </w:rPr>
        <w:t>Repérer l'étape courante, la progression, les champs obligatoires, la sélection de fichiers et le bouton Continuer ou Soumettre.</w:t>
      </w:r>
    </w:p>
    <w:p>
      <w:r>
        <w:br w:type="page"/>
      </w:r>
    </w:p>
    <w:p>
      <w:pPr>
        <w:pStyle w:val="Heading1"/>
      </w:pPr>
      <w:r>
        <w:t>7. Vérification documentaire et contrôle FUCCS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BUT DU CHAPITRE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Confirmer la cohérence des informations collectées et documenter les anomalies avant validation.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Utilisateurs concernés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Vérificateur, contrôleur FUCCS, superviseur et point focal autorisé.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Prérequis</w:t>
            </w:r>
          </w:p>
        </w:tc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Fiche soumise et dossier affecté ; pièces consultables.</w:t>
            </w:r>
          </w:p>
        </w:tc>
      </w:tr>
    </w:tbl>
    <w:p>
      <w:pPr>
        <w:spacing w:after="40"/>
      </w:pPr>
    </w:p>
    <w:p>
      <w:pPr>
        <w:pStyle w:val="Heading2"/>
      </w:pPr>
      <w:r>
        <w:t>Vérifier un dossier</w:t>
      </w:r>
    </w:p>
    <w:p>
      <w:pPr>
        <w:pStyle w:val="ListNumber"/>
      </w:pPr>
      <w:r>
        <w:t>Ouvrir le dossier affecté.</w:t>
      </w:r>
    </w:p>
    <w:p>
      <w:pPr>
        <w:pStyle w:val="ListNumber"/>
      </w:pPr>
      <w:r>
        <w:t>Comparer les informations de la fiche aux pièces jointes et aux sources disponibles.</w:t>
      </w:r>
    </w:p>
    <w:p>
      <w:pPr>
        <w:pStyle w:val="ListNumber"/>
      </w:pPr>
      <w:r>
        <w:t>Confirmer les informations cohérentes ou signaler une anomalie motivée.</w:t>
      </w:r>
    </w:p>
    <w:p>
      <w:pPr>
        <w:pStyle w:val="ListNumber"/>
      </w:pPr>
      <w:r>
        <w:t>Renseigner les dates de traitement lorsque la planification est requise.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Le dossier conserve une position claire : confirmé, à corriger ou à compléter.</w:t>
            </w:r>
          </w:p>
        </w:tc>
      </w:tr>
    </w:tbl>
    <w:p>
      <w:pPr>
        <w:spacing w:after="40"/>
      </w:pPr>
    </w:p>
    <w:p>
      <w:pPr>
        <w:pStyle w:val="Heading2"/>
      </w:pPr>
      <w:r>
        <w:t>Conduire le contrôle FUCCS</w:t>
      </w:r>
    </w:p>
    <w:p>
      <w:pPr>
        <w:pStyle w:val="ListNumber"/>
      </w:pPr>
      <w:r>
        <w:t>Ouvrir la grille associée au dossier.</w:t>
      </w:r>
    </w:p>
    <w:p>
      <w:pPr>
        <w:pStyle w:val="ListNumber"/>
      </w:pPr>
      <w:r>
        <w:t>Démarrer le contrôle une seule fois ; utiliser Reprendre pour mettre à jour le même résultat.</w:t>
      </w:r>
    </w:p>
    <w:p>
      <w:pPr>
        <w:pStyle w:val="ListNumber"/>
      </w:pPr>
      <w:r>
        <w:t>Renseigner les critères, notes, constats et preuves.</w:t>
      </w:r>
    </w:p>
    <w:p>
      <w:pPr>
        <w:pStyle w:val="ListNumber"/>
      </w:pPr>
      <w:r>
        <w:t>Finaliser lorsque tous les critères requis sont renseignés.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Un résultat FUCCS unique et historisé est disponible pour le dossier.</w:t>
            </w:r>
          </w:p>
        </w:tc>
      </w:tr>
    </w:tbl>
    <w:p>
      <w:pPr>
        <w:spacing w:after="40"/>
      </w:pPr>
    </w:p>
    <w:p>
      <w:pPr>
        <w:pStyle w:val="Heading2"/>
      </w:pPr>
      <w:r>
        <w:t>Réouvrir ou corriger</w:t>
      </w:r>
    </w:p>
    <w:p>
      <w:pPr>
        <w:pStyle w:val="ListNumber"/>
      </w:pPr>
      <w:r>
        <w:t>Utiliser Réouvrir uniquement lorsqu'une correction justifiée est nécessaire.</w:t>
      </w:r>
    </w:p>
    <w:p>
      <w:pPr>
        <w:pStyle w:val="ListNumber"/>
      </w:pPr>
      <w:r>
        <w:t>Documenter le motif et l'impact sur le dossier.</w:t>
      </w:r>
    </w:p>
    <w:p>
      <w:pPr>
        <w:pStyle w:val="ListNumber"/>
      </w:pPr>
      <w:r>
        <w:t>Mettre à jour l'ancien contrôle au lieu d'en créer un nouveau.</w:t>
      </w:r>
    </w:p>
    <w:p>
      <w:pPr>
        <w:pStyle w:val="ListNumber"/>
      </w:pPr>
      <w:r>
        <w:t>Vérifier l'historique après l'action.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La traçabilité montre la décision, le motif et la nouvelle version de travail.</w:t>
            </w:r>
          </w:p>
        </w:tc>
      </w:tr>
    </w:tbl>
    <w:p>
      <w:pPr>
        <w:spacing w:after="40"/>
      </w:pPr>
    </w:p>
    <w:p>
      <w:pPr>
        <w:pStyle w:val="Heading2"/>
      </w:pPr>
      <w:r>
        <w:t>Points d'attention</w:t>
      </w:r>
    </w:p>
    <w:p>
      <w:pPr>
        <w:pStyle w:val="ListBullet"/>
      </w:pPr>
      <w:r>
        <w:t>Ne pas créer plusieurs contrôles FUCCS pour le même dossier.</w:t>
      </w:r>
    </w:p>
    <w:p>
      <w:pPr>
        <w:pStyle w:val="ListBullet"/>
      </w:pPr>
      <w:r>
        <w:t>Une anomalie doit être compréhensible et accompagnée d'une action attendue.</w:t>
      </w:r>
    </w:p>
    <w:p>
      <w:pPr>
        <w:pStyle w:val="ListBullet"/>
      </w:pPr>
      <w:r>
        <w:t>Les dates d'affectation peuvent alimenter les alertes et échéances.</w:t>
      </w:r>
    </w:p>
    <w:p>
      <w:pPr>
        <w:pStyle w:val="Heading3"/>
      </w:pPr>
      <w:r>
        <w:t>Figure 7 - Dossier de vérification et grille FUCCS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F2F7F5"/>
            <w:tcMar>
              <w:top w:w="850" w:type="dxa"/>
              <w:start w:w="180" w:type="dxa"/>
              <w:bottom w:w="850" w:type="dxa"/>
              <w:end w:w="180" w:type="dxa"/>
            </w:tcMar>
            <w:tcBorders>
              <w:top w:val="single" w:sz="6" w:color="9EC8B9"/>
              <w:left w:val="single" w:sz="6" w:color="9EC8B9"/>
              <w:bottom w:val="single" w:sz="6" w:color="9EC8B9"/>
              <w:right w:val="single" w:sz="6" w:color="9EC8B9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87659"/>
                <w:sz w:val="22"/>
              </w:rPr>
              <w:t>CAPTURE D'ÉCRAN À INSÉRER</w:t>
            </w:r>
          </w:p>
          <w:p>
            <w:pPr>
              <w:jc w:val="center"/>
            </w:pPr>
            <w:r>
              <w:rPr>
                <w:rFonts w:ascii="Aptos" w:hAnsi="Aptos"/>
                <w:i/>
                <w:color w:val="627A72"/>
                <w:sz w:val="17"/>
              </w:rPr>
              <w:t>Masquer les données nominatives, identifiants, adresses électroniques et informations sensibles.</w:t>
            </w:r>
          </w:p>
        </w:tc>
      </w:tr>
    </w:tbl>
    <w:p>
      <w:pPr>
        <w:spacing w:before="60" w:after="200"/>
      </w:pPr>
      <w:r>
        <w:rPr>
          <w:rFonts w:ascii="Aptos" w:hAnsi="Aptos"/>
          <w:b/>
          <w:color w:val="064A3A"/>
          <w:sz w:val="17"/>
        </w:rPr>
        <w:t xml:space="preserve">Légende à compléter : </w:t>
      </w:r>
      <w:r>
        <w:rPr>
          <w:rFonts w:ascii="Aptos" w:hAnsi="Aptos"/>
          <w:color w:val="627A72"/>
          <w:sz w:val="17"/>
        </w:rPr>
        <w:t>Repérer le responsable, les dates, les critères, les preuves, les constats et les boutons Démarrer, Reprendre ou Réouvrir.</w:t>
      </w:r>
    </w:p>
    <w:p>
      <w:r>
        <w:br w:type="page"/>
      </w:r>
    </w:p>
    <w:p>
      <w:pPr>
        <w:pStyle w:val="Heading1"/>
      </w:pPr>
      <w:r>
        <w:t>8. Validation N1/N2 et intégration BNEC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BUT DU CHAPITRE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Prendre une décision de validation fondée et intégrer uniquement les dossiers prêts dans le registre officiel.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Utilisateurs concernés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Valideurs N1/N2, Direction Technique, point focal BNEC et administrateur fonctionnel autorisé.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Prérequis</w:t>
            </w:r>
          </w:p>
        </w:tc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Vérification et contrôle disponibles ; corrections traitées ou justifiées.</w:t>
            </w:r>
          </w:p>
        </w:tc>
      </w:tr>
    </w:tbl>
    <w:p>
      <w:pPr>
        <w:spacing w:after="40"/>
      </w:pPr>
    </w:p>
    <w:p>
      <w:pPr>
        <w:pStyle w:val="Heading2"/>
      </w:pPr>
      <w:r>
        <w:t>Réaliser une validation</w:t>
      </w:r>
    </w:p>
    <w:p>
      <w:pPr>
        <w:pStyle w:val="ListNumber"/>
      </w:pPr>
      <w:r>
        <w:t>Ouvrir le dossier de validation et lire les conclusions précédentes.</w:t>
      </w:r>
    </w:p>
    <w:p>
      <w:pPr>
        <w:pStyle w:val="ListNumber"/>
      </w:pPr>
      <w:r>
        <w:t>Contrôler les pièces, les constats et les corrections apportées.</w:t>
      </w:r>
    </w:p>
    <w:p>
      <w:pPr>
        <w:pStyle w:val="ListNumber"/>
      </w:pPr>
      <w:r>
        <w:t>Émettre la décision N1 ou N2 avec un motif clair.</w:t>
      </w:r>
    </w:p>
    <w:p>
      <w:pPr>
        <w:pStyle w:val="ListNumber"/>
      </w:pPr>
      <w:r>
        <w:t>Renvoyer le dossier en correction lorsque les éléments restent insuffisants.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La décision est explicite, motivée et inscrite dans l'historique.</w:t>
            </w:r>
          </w:p>
        </w:tc>
      </w:tr>
    </w:tbl>
    <w:p>
      <w:pPr>
        <w:spacing w:after="40"/>
      </w:pPr>
    </w:p>
    <w:p>
      <w:pPr>
        <w:pStyle w:val="Heading2"/>
      </w:pPr>
      <w:r>
        <w:t>Préparer l'intégration BNEC</w:t>
      </w:r>
    </w:p>
    <w:p>
      <w:pPr>
        <w:pStyle w:val="ListNumber"/>
      </w:pPr>
      <w:r>
        <w:t>Ouvrir l'espace d'intégration seulement après la validation requise.</w:t>
      </w:r>
    </w:p>
    <w:p>
      <w:pPr>
        <w:pStyle w:val="ListNumber"/>
      </w:pPr>
      <w:r>
        <w:t>Vérifier le plan d'intégration et les éléments bloquants.</w:t>
      </w:r>
    </w:p>
    <w:p>
      <w:pPr>
        <w:pStyle w:val="ListNumber"/>
      </w:pPr>
      <w:r>
        <w:t>Contrôler la codification, le titulaire, l'organisme, le référentiel et les dates.</w:t>
      </w:r>
    </w:p>
    <w:p>
      <w:pPr>
        <w:pStyle w:val="ListNumber"/>
      </w:pPr>
      <w:r>
        <w:t>Lancer l'intégration puis consulter le post-contrôle.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Le dossier est intégré une seule fois dans la BNEC, ou son échec est documenté.</w:t>
            </w:r>
          </w:p>
        </w:tc>
      </w:tr>
    </w:tbl>
    <w:p>
      <w:pPr>
        <w:spacing w:after="40"/>
      </w:pPr>
    </w:p>
    <w:p>
      <w:pPr>
        <w:pStyle w:val="Heading2"/>
      </w:pPr>
      <w:r>
        <w:t>Traiter un échec d'intégration</w:t>
      </w:r>
    </w:p>
    <w:p>
      <w:pPr>
        <w:pStyle w:val="ListNumber"/>
      </w:pPr>
      <w:r>
        <w:t>Lire le motif d'échec et l'élément concerné.</w:t>
      </w:r>
    </w:p>
    <w:p>
      <w:pPr>
        <w:pStyle w:val="ListNumber"/>
      </w:pPr>
      <w:r>
        <w:t>Corriger le dossier source ou transmettre au rôle compétent.</w:t>
      </w:r>
    </w:p>
    <w:p>
      <w:pPr>
        <w:pStyle w:val="ListNumber"/>
      </w:pPr>
      <w:r>
        <w:t>Utiliser Nouvelle tentative après correction.</w:t>
      </w:r>
    </w:p>
    <w:p>
      <w:pPr>
        <w:pStyle w:val="ListNumber"/>
      </w:pPr>
      <w:r>
        <w:t>Ne pas contourner le post-contrôle ou les vérifications obligatoires.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La nouvelle tentative reste liée à l'historique de l'intégration initiale.</w:t>
            </w:r>
          </w:p>
        </w:tc>
      </w:tr>
    </w:tbl>
    <w:p>
      <w:pPr>
        <w:spacing w:after="40"/>
      </w:pPr>
    </w:p>
    <w:p>
      <w:pPr>
        <w:pStyle w:val="Heading2"/>
      </w:pPr>
      <w:r>
        <w:t>Points d'attention</w:t>
      </w:r>
    </w:p>
    <w:p>
      <w:pPr>
        <w:pStyle w:val="ListBullet"/>
      </w:pPr>
      <w:r>
        <w:t>Une validation favorable ne remplace pas les contrôles de préparation BNEC.</w:t>
      </w:r>
    </w:p>
    <w:p>
      <w:pPr>
        <w:pStyle w:val="ListBullet"/>
      </w:pPr>
      <w:r>
        <w:t>La codification ne doit pas être saisie au hasard : utiliser les règles et référentiels publiés.</w:t>
      </w:r>
    </w:p>
    <w:p>
      <w:pPr>
        <w:pStyle w:val="ListBullet"/>
      </w:pPr>
      <w:r>
        <w:t>L'intégration prépare les échéances, audits et alertes liés à la certification.</w:t>
      </w:r>
    </w:p>
    <w:p>
      <w:pPr>
        <w:pStyle w:val="Heading3"/>
      </w:pPr>
      <w:r>
        <w:t>Figure 8 - Validation et intégration BNEC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F2F7F5"/>
            <w:tcMar>
              <w:top w:w="850" w:type="dxa"/>
              <w:start w:w="180" w:type="dxa"/>
              <w:bottom w:w="850" w:type="dxa"/>
              <w:end w:w="180" w:type="dxa"/>
            </w:tcMar>
            <w:tcBorders>
              <w:top w:val="single" w:sz="6" w:color="9EC8B9"/>
              <w:left w:val="single" w:sz="6" w:color="9EC8B9"/>
              <w:bottom w:val="single" w:sz="6" w:color="9EC8B9"/>
              <w:right w:val="single" w:sz="6" w:color="9EC8B9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87659"/>
                <w:sz w:val="22"/>
              </w:rPr>
              <w:t>CAPTURE D'ÉCRAN À INSÉRER</w:t>
            </w:r>
          </w:p>
          <w:p>
            <w:pPr>
              <w:jc w:val="center"/>
            </w:pPr>
            <w:r>
              <w:rPr>
                <w:rFonts w:ascii="Aptos" w:hAnsi="Aptos"/>
                <w:i/>
                <w:color w:val="627A72"/>
                <w:sz w:val="17"/>
              </w:rPr>
              <w:t>Masquer les données nominatives, identifiants, adresses électroniques et informations sensibles.</w:t>
            </w:r>
          </w:p>
        </w:tc>
      </w:tr>
    </w:tbl>
    <w:p>
      <w:pPr>
        <w:spacing w:before="60" w:after="200"/>
      </w:pPr>
      <w:r>
        <w:rPr>
          <w:rFonts w:ascii="Aptos" w:hAnsi="Aptos"/>
          <w:b/>
          <w:color w:val="064A3A"/>
          <w:sz w:val="17"/>
        </w:rPr>
        <w:t xml:space="preserve">Légende à compléter : </w:t>
      </w:r>
      <w:r>
        <w:rPr>
          <w:rFonts w:ascii="Aptos" w:hAnsi="Aptos"/>
          <w:color w:val="627A72"/>
          <w:sz w:val="17"/>
        </w:rPr>
        <w:t>Repérer les décisions N1/N2, les corrections, le plan d'intégration, les blocages et le post-contrôle.</w:t>
      </w:r>
    </w:p>
    <w:p>
      <w:r>
        <w:br w:type="page"/>
      </w:r>
    </w:p>
    <w:p>
      <w:pPr>
        <w:pStyle w:val="Heading1"/>
      </w:pPr>
      <w:r>
        <w:t>9. Scoring, INFC et classement SNCC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BUT DU CHAPITRE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Évaluer les données sans dupliquer les résultats et comprendre la portée de chaque indicateur.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Utilisateurs concernés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Utilisateurs autorisés au scoring, à l'INFC et au SNCC.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Prérequis</w:t>
            </w:r>
          </w:p>
        </w:tc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Modèle publié et données préalables disponibles ; INFC validé avant SNCC lorsque la règle l'exige.</w:t>
            </w:r>
          </w:p>
        </w:tc>
      </w:tr>
    </w:tbl>
    <w:p>
      <w:pPr>
        <w:spacing w:after="40"/>
      </w:pPr>
    </w:p>
    <w:p>
      <w:pPr>
        <w:pStyle w:val="Heading2"/>
      </w:pPr>
      <w:r>
        <w:t>Évaluer une entreprise</w:t>
      </w:r>
    </w:p>
    <w:p>
      <w:pPr>
        <w:pStyle w:val="ListNumber"/>
      </w:pPr>
      <w:r>
        <w:t>Ouvrir la liste des entreprises éligibles au scoring.</w:t>
      </w:r>
    </w:p>
    <w:p>
      <w:pPr>
        <w:pStyle w:val="ListNumber"/>
      </w:pPr>
      <w:r>
        <w:t>Sélectionner le modèle actif et renseigner les valeurs demandées.</w:t>
      </w:r>
    </w:p>
    <w:p>
      <w:pPr>
        <w:pStyle w:val="ListNumber"/>
      </w:pPr>
      <w:r>
        <w:t>Valider l'évaluation selon les droits disponibles.</w:t>
      </w:r>
    </w:p>
    <w:p>
      <w:pPr>
        <w:pStyle w:val="ListNumber"/>
      </w:pPr>
      <w:r>
        <w:t>Cliquer sur la ligne historique pour consulter les évaluations précédentes.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Une seule ligne courante est conservée par entreprise ; ses évaluations successives restent consultables.</w:t>
            </w:r>
          </w:p>
        </w:tc>
      </w:tr>
    </w:tbl>
    <w:p>
      <w:pPr>
        <w:spacing w:after="40"/>
      </w:pPr>
    </w:p>
    <w:p>
      <w:pPr>
        <w:pStyle w:val="Heading2"/>
      </w:pPr>
      <w:r>
        <w:t>Calculer l'INFC</w:t>
      </w:r>
    </w:p>
    <w:p>
      <w:pPr>
        <w:pStyle w:val="ListNumber"/>
      </w:pPr>
      <w:r>
        <w:t>Ouvrir les certifications éligibles.</w:t>
      </w:r>
    </w:p>
    <w:p>
      <w:pPr>
        <w:pStyle w:val="ListNumber"/>
      </w:pPr>
      <w:r>
        <w:t>Vérifier le modèle, la formule et les informations d'entrée.</w:t>
      </w:r>
    </w:p>
    <w:p>
      <w:pPr>
        <w:pStyle w:val="ListNumber"/>
      </w:pPr>
      <w:r>
        <w:t>Lancer le calcul ou le recalcul de la certification.</w:t>
      </w:r>
    </w:p>
    <w:p>
      <w:pPr>
        <w:pStyle w:val="ListNumber"/>
      </w:pPr>
      <w:r>
        <w:t>Consulter la ligne courante et son historique de recalculs.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Le dernier résultat remplace la ligne courante sans supprimer les calculs antérieurs.</w:t>
            </w:r>
          </w:p>
        </w:tc>
      </w:tr>
    </w:tbl>
    <w:p>
      <w:pPr>
        <w:spacing w:after="40"/>
      </w:pPr>
    </w:p>
    <w:p>
      <w:pPr>
        <w:pStyle w:val="Heading2"/>
      </w:pPr>
      <w:r>
        <w:t>Classer au SNCC</w:t>
      </w:r>
    </w:p>
    <w:p>
      <w:pPr>
        <w:pStyle w:val="ListNumber"/>
      </w:pPr>
      <w:r>
        <w:t>Sélectionner une certification dont l'INFC est validé si la règle l'impose.</w:t>
      </w:r>
    </w:p>
    <w:p>
      <w:pPr>
        <w:pStyle w:val="ListNumber"/>
      </w:pPr>
      <w:r>
        <w:t>Choisir les valeurs de classement autorisées et justifier la décision.</w:t>
      </w:r>
    </w:p>
    <w:p>
      <w:pPr>
        <w:pStyle w:val="ListNumber"/>
      </w:pPr>
      <w:r>
        <w:t>Valider le classement, ou clôturer la période avec un motif.</w:t>
      </w:r>
    </w:p>
    <w:p>
      <w:pPr>
        <w:pStyle w:val="ListNumber"/>
      </w:pPr>
      <w:r>
        <w:t>Cliquer sur la ligne pour consulter l'évolution des classements.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Le classement courant est lisible et les décisions antérieures sont historisées.</w:t>
            </w:r>
          </w:p>
        </w:tc>
      </w:tr>
    </w:tbl>
    <w:p>
      <w:pPr>
        <w:spacing w:after="40"/>
      </w:pPr>
    </w:p>
    <w:p>
      <w:pPr>
        <w:pStyle w:val="Heading2"/>
      </w:pPr>
      <w:r>
        <w:t>Points d'attention</w:t>
      </w:r>
    </w:p>
    <w:p>
      <w:pPr>
        <w:pStyle w:val="ListBullet"/>
      </w:pPr>
      <w:r>
        <w:t>Un modèle sans niveaux institutionnels peut permettre le calcul mais bloquer la validation finale.</w:t>
      </w:r>
    </w:p>
    <w:p>
      <w:pPr>
        <w:pStyle w:val="ListBullet"/>
      </w:pPr>
      <w:r>
        <w:t>Ne créez pas cinquante lignes pour une même entité : utilisez recalcul, réévaluation ou reclassement.</w:t>
      </w:r>
    </w:p>
    <w:p>
      <w:pPr>
        <w:pStyle w:val="ListBullet"/>
      </w:pPr>
      <w:r>
        <w:t>Consultez la légende SNCC avant de valider une classe ou un niveau de risque.</w:t>
      </w:r>
    </w:p>
    <w:p>
      <w:pPr>
        <w:pStyle w:val="Heading3"/>
      </w:pPr>
      <w:r>
        <w:t>Figure 9 - Résultats de scoring, INFC et SNCC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F2F7F5"/>
            <w:tcMar>
              <w:top w:w="850" w:type="dxa"/>
              <w:start w:w="180" w:type="dxa"/>
              <w:bottom w:w="850" w:type="dxa"/>
              <w:end w:w="180" w:type="dxa"/>
            </w:tcMar>
            <w:tcBorders>
              <w:top w:val="single" w:sz="6" w:color="9EC8B9"/>
              <w:left w:val="single" w:sz="6" w:color="9EC8B9"/>
              <w:bottom w:val="single" w:sz="6" w:color="9EC8B9"/>
              <w:right w:val="single" w:sz="6" w:color="9EC8B9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87659"/>
                <w:sz w:val="22"/>
              </w:rPr>
              <w:t>CAPTURE D'ÉCRAN À INSÉRER</w:t>
            </w:r>
          </w:p>
          <w:p>
            <w:pPr>
              <w:jc w:val="center"/>
            </w:pPr>
            <w:r>
              <w:rPr>
                <w:rFonts w:ascii="Aptos" w:hAnsi="Aptos"/>
                <w:i/>
                <w:color w:val="627A72"/>
                <w:sz w:val="17"/>
              </w:rPr>
              <w:t>Masquer les données nominatives, identifiants, adresses électroniques et informations sensibles.</w:t>
            </w:r>
          </w:p>
        </w:tc>
      </w:tr>
    </w:tbl>
    <w:p>
      <w:pPr>
        <w:spacing w:before="60" w:after="200"/>
      </w:pPr>
      <w:r>
        <w:rPr>
          <w:rFonts w:ascii="Aptos" w:hAnsi="Aptos"/>
          <w:b/>
          <w:color w:val="064A3A"/>
          <w:sz w:val="17"/>
        </w:rPr>
        <w:t xml:space="preserve">Légende à compléter : </w:t>
      </w:r>
      <w:r>
        <w:rPr>
          <w:rFonts w:ascii="Aptos" w:hAnsi="Aptos"/>
          <w:color w:val="627A72"/>
          <w:sz w:val="17"/>
        </w:rPr>
        <w:t>Repérer le modèle actif, la valeur courante, la date, le statut, la ligne cliquable et le modal d'historique.</w:t>
      </w:r>
    </w:p>
    <w:p>
      <w:r>
        <w:br w:type="page"/>
      </w:r>
    </w:p>
    <w:p>
      <w:pPr>
        <w:pStyle w:val="Heading1"/>
      </w:pPr>
      <w:r>
        <w:t>10. Veille, relances, décisions et communication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BUT DU CHAPITRE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Suivre les risques, échéances et réponses externes jusqu'à leur clôture motivée.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Utilisateurs concernés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Cellule de veille, superviseurs, agents affectés et décideurs autorisés.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Prérequis</w:t>
            </w:r>
          </w:p>
        </w:tc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Dossier de veille ou échéance existante ; destinataire et responsable identifiés.</w:t>
            </w:r>
          </w:p>
        </w:tc>
      </w:tr>
    </w:tbl>
    <w:p>
      <w:pPr>
        <w:spacing w:after="40"/>
      </w:pPr>
    </w:p>
    <w:p>
      <w:pPr>
        <w:pStyle w:val="Heading2"/>
      </w:pPr>
      <w:r>
        <w:t>Ouvrir un dossier de veille</w:t>
      </w:r>
    </w:p>
    <w:p>
      <w:pPr>
        <w:pStyle w:val="ListNumber"/>
      </w:pPr>
      <w:r>
        <w:t>Créer le dossier à partir d'un risque, d'une certification, d'une entreprise ou d'une alerte.</w:t>
      </w:r>
    </w:p>
    <w:p>
      <w:pPr>
        <w:pStyle w:val="ListNumber"/>
      </w:pPr>
      <w:r>
        <w:t>Choisir la nature de suivi, la priorité, le responsable et la prochaine action.</w:t>
      </w:r>
    </w:p>
    <w:p>
      <w:pPr>
        <w:pStyle w:val="ListNumber"/>
      </w:pPr>
      <w:r>
        <w:t>Renseigner la date de prochaine action afin de créer le rappel.</w:t>
      </w:r>
    </w:p>
    <w:p>
      <w:pPr>
        <w:pStyle w:val="ListNumber"/>
      </w:pPr>
      <w:r>
        <w:t>Ajouter les événements et pièces de suivi.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Le dossier est affecté, visible dans la file de veille et associé à ses rappels.</w:t>
            </w:r>
          </w:p>
        </w:tc>
      </w:tr>
    </w:tbl>
    <w:p>
      <w:pPr>
        <w:spacing w:after="40"/>
      </w:pPr>
    </w:p>
    <w:p>
      <w:pPr>
        <w:pStyle w:val="Heading2"/>
      </w:pPr>
      <w:r>
        <w:t>Programmer une relance</w:t>
      </w:r>
    </w:p>
    <w:p>
      <w:pPr>
        <w:pStyle w:val="ListNumber"/>
      </w:pPr>
      <w:r>
        <w:t>Saisir le destinataire, son adresse électronique, le contenu du message et la date d'envoi.</w:t>
      </w:r>
    </w:p>
    <w:p>
      <w:pPr>
        <w:pStyle w:val="ListNumber"/>
      </w:pPr>
      <w:r>
        <w:t>Renseigner également le délai de réponse.</w:t>
      </w:r>
    </w:p>
    <w:p>
      <w:pPr>
        <w:pStyle w:val="ListNumber"/>
      </w:pPr>
      <w:r>
        <w:t>Enregistrer : la date d'envoi et l'échéance sont placées dans le calendrier.</w:t>
      </w:r>
    </w:p>
    <w:p>
      <w:pPr>
        <w:pStyle w:val="ListNumber"/>
      </w:pPr>
      <w:r>
        <w:t>Si la date d'envoi est aujourd'hui, vérifier l'envoi dans la file de notifications.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La relance est journalisée et une alerte est générée à l'approche ou au dépassement du délai.</w:t>
            </w:r>
          </w:p>
        </w:tc>
      </w:tr>
    </w:tbl>
    <w:p>
      <w:pPr>
        <w:spacing w:after="40"/>
      </w:pPr>
    </w:p>
    <w:p>
      <w:pPr>
        <w:pStyle w:val="Heading2"/>
      </w:pPr>
      <w:r>
        <w:t>Créer une décision</w:t>
      </w:r>
    </w:p>
    <w:p>
      <w:pPr>
        <w:pStyle w:val="ListNumber"/>
      </w:pPr>
      <w:r>
        <w:t>Ouvrir Décisions et actions.</w:t>
      </w:r>
    </w:p>
    <w:p>
      <w:pPr>
        <w:pStyle w:val="ListNumber"/>
      </w:pPr>
      <w:r>
        <w:t>Choisir l'objet, le contexte, l'autorité et les responsables concernés.</w:t>
      </w:r>
    </w:p>
    <w:p>
      <w:pPr>
        <w:pStyle w:val="ListNumber"/>
      </w:pPr>
      <w:r>
        <w:t>Utiliser les propositions de saisie puis adapter le contenu au cas réel.</w:t>
      </w:r>
    </w:p>
    <w:p>
      <w:pPr>
        <w:pStyle w:val="ListNumber"/>
      </w:pPr>
      <w:r>
        <w:t>Enregistrer et vérifier la notification des utilisateurs concernés.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La décision est traçable et les actions associées peuvent être suivies.</w:t>
            </w:r>
          </w:p>
        </w:tc>
      </w:tr>
    </w:tbl>
    <w:p>
      <w:pPr>
        <w:spacing w:after="40"/>
      </w:pPr>
    </w:p>
    <w:p>
      <w:pPr>
        <w:pStyle w:val="Heading2"/>
      </w:pPr>
      <w:r>
        <w:t>Points d'attention</w:t>
      </w:r>
    </w:p>
    <w:p>
      <w:pPr>
        <w:pStyle w:val="ListBullet"/>
      </w:pPr>
      <w:r>
        <w:t>Vérifier l'adresse électronique avant une programmation d'envoi.</w:t>
      </w:r>
    </w:p>
    <w:p>
      <w:pPr>
        <w:pStyle w:val="ListBullet"/>
      </w:pPr>
      <w:r>
        <w:t>Une clôture de dossier ou d'échéance doit toujours être motivée.</w:t>
      </w:r>
    </w:p>
    <w:p>
      <w:pPr>
        <w:pStyle w:val="ListBullet"/>
      </w:pPr>
      <w:r>
        <w:t>Ne pas inscrire de données confidentielles inutiles dans le corps d'un courriel.</w:t>
      </w:r>
    </w:p>
    <w:p>
      <w:pPr>
        <w:pStyle w:val="Heading3"/>
      </w:pPr>
      <w:r>
        <w:t>Figure 10 - Dossier de veille et nouvelle relance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F2F7F5"/>
            <w:tcMar>
              <w:top w:w="850" w:type="dxa"/>
              <w:start w:w="180" w:type="dxa"/>
              <w:bottom w:w="850" w:type="dxa"/>
              <w:end w:w="180" w:type="dxa"/>
            </w:tcMar>
            <w:tcBorders>
              <w:top w:val="single" w:sz="6" w:color="9EC8B9"/>
              <w:left w:val="single" w:sz="6" w:color="9EC8B9"/>
              <w:bottom w:val="single" w:sz="6" w:color="9EC8B9"/>
              <w:right w:val="single" w:sz="6" w:color="9EC8B9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87659"/>
                <w:sz w:val="22"/>
              </w:rPr>
              <w:t>CAPTURE D'ÉCRAN À INSÉRER</w:t>
            </w:r>
          </w:p>
          <w:p>
            <w:pPr>
              <w:jc w:val="center"/>
            </w:pPr>
            <w:r>
              <w:rPr>
                <w:rFonts w:ascii="Aptos" w:hAnsi="Aptos"/>
                <w:i/>
                <w:color w:val="627A72"/>
                <w:sz w:val="17"/>
              </w:rPr>
              <w:t>Masquer les données nominatives, identifiants, adresses électroniques et informations sensibles.</w:t>
            </w:r>
          </w:p>
        </w:tc>
      </w:tr>
    </w:tbl>
    <w:p>
      <w:pPr>
        <w:spacing w:before="60" w:after="200"/>
      </w:pPr>
      <w:r>
        <w:rPr>
          <w:rFonts w:ascii="Aptos" w:hAnsi="Aptos"/>
          <w:b/>
          <w:color w:val="064A3A"/>
          <w:sz w:val="17"/>
        </w:rPr>
        <w:t xml:space="preserve">Légende à compléter : </w:t>
      </w:r>
      <w:r>
        <w:rPr>
          <w:rFonts w:ascii="Aptos" w:hAnsi="Aptos"/>
          <w:color w:val="627A72"/>
          <w:sz w:val="17"/>
        </w:rPr>
        <w:t>Repérer la file de veille, le responsable, les dates, le destinataire, le message et les actions de clôture.</w:t>
      </w:r>
    </w:p>
    <w:p>
      <w:r>
        <w:br w:type="page"/>
      </w:r>
    </w:p>
    <w:p>
      <w:pPr>
        <w:pStyle w:val="Heading1"/>
      </w:pPr>
      <w:r>
        <w:t>11. Administration, référentiels et publication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BUT DU CHAPITRE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Administrer les paramètres métier et les utilisateurs sans modifier les données opérationnelles sans justification.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Utilisateurs concernés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Administrateur HAUQE, administrateur fonctionnel et rôles expressément autorisés.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Prérequis</w:t>
            </w:r>
          </w:p>
        </w:tc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Permission d'administration adaptée ; référentiel ou règle de travail identifié.</w:t>
            </w:r>
          </w:p>
        </w:tc>
      </w:tr>
    </w:tbl>
    <w:p>
      <w:pPr>
        <w:spacing w:after="40"/>
      </w:pPr>
    </w:p>
    <w:p>
      <w:pPr>
        <w:pStyle w:val="Heading2"/>
      </w:pPr>
      <w:r>
        <w:t>Créer un utilisateur</w:t>
      </w:r>
    </w:p>
    <w:p>
      <w:pPr>
        <w:pStyle w:val="ListNumber"/>
      </w:pPr>
      <w:r>
        <w:t>Ouvrir Administration puis Utilisateurs.</w:t>
      </w:r>
    </w:p>
    <w:p>
      <w:pPr>
        <w:pStyle w:val="ListNumber"/>
      </w:pPr>
      <w:r>
        <w:t>Renseigner l'identité professionnelle, l'adresse et les rôles initiaux.</w:t>
      </w:r>
    </w:p>
    <w:p>
      <w:pPr>
        <w:pStyle w:val="ListNumber"/>
      </w:pPr>
      <w:r>
        <w:t>Choisir l'envoi des identifiants seulement lorsque la procédure l'autorise.</w:t>
      </w:r>
    </w:p>
    <w:p>
      <w:pPr>
        <w:pStyle w:val="ListNumber"/>
      </w:pPr>
      <w:r>
        <w:t>Enregistrer et vérifier le statut actif du compte.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Le compte reçoit uniquement les habilitations prévues par les rôles sélectionnés.</w:t>
            </w:r>
          </w:p>
        </w:tc>
      </w:tr>
    </w:tbl>
    <w:p>
      <w:pPr>
        <w:spacing w:after="40"/>
      </w:pPr>
    </w:p>
    <w:p>
      <w:pPr>
        <w:pStyle w:val="Heading2"/>
      </w:pPr>
      <w:r>
        <w:t>Gérer un référentiel ou une règle</w:t>
      </w:r>
    </w:p>
    <w:p>
      <w:pPr>
        <w:pStyle w:val="ListNumber"/>
      </w:pPr>
      <w:r>
        <w:t>Rechercher d'abord le code ou la valeur existante.</w:t>
      </w:r>
    </w:p>
    <w:p>
      <w:pPr>
        <w:pStyle w:val="ListNumber"/>
      </w:pPr>
      <w:r>
        <w:t>Créer un brouillon avec un code unique proposé ou saisi selon les règles.</w:t>
      </w:r>
    </w:p>
    <w:p>
      <w:pPr>
        <w:pStyle w:val="ListNumber"/>
      </w:pPr>
      <w:r>
        <w:t>Ajouter les valeurs, descriptions et conditions nécessaires.</w:t>
      </w:r>
    </w:p>
    <w:p>
      <w:pPr>
        <w:pStyle w:val="ListNumber"/>
      </w:pPr>
      <w:r>
        <w:t>Soumettre ou publier uniquement après la validation institutionnelle requise.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Les règles et valeurs publiées deviennent des références traçables pour l'application.</w:t>
            </w:r>
          </w:p>
        </w:tc>
      </w:tr>
    </w:tbl>
    <w:p>
      <w:pPr>
        <w:spacing w:after="40"/>
      </w:pPr>
    </w:p>
    <w:p>
      <w:pPr>
        <w:pStyle w:val="Heading2"/>
      </w:pPr>
      <w:r>
        <w:t>Préparer une publication</w:t>
      </w:r>
    </w:p>
    <w:p>
      <w:pPr>
        <w:pStyle w:val="ListNumber"/>
      </w:pPr>
      <w:r>
        <w:t>Produire les données nominatives ou agrégées depuis les règles prévues.</w:t>
      </w:r>
    </w:p>
    <w:p>
      <w:pPr>
        <w:pStyle w:val="ListNumber"/>
      </w:pPr>
      <w:r>
        <w:t>Créer une demande de publication au statut brouillon.</w:t>
      </w:r>
    </w:p>
    <w:p>
      <w:pPr>
        <w:pStyle w:val="ListNumber"/>
      </w:pPr>
      <w:r>
        <w:t>Soumettre à approbation, puis publier après décision.</w:t>
      </w:r>
    </w:p>
    <w:p>
      <w:pPr>
        <w:pStyle w:val="ListNumber"/>
      </w:pPr>
      <w:r>
        <w:t>Retirer une publication avec motif si son maintien n'est plus justifié.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Le tableau public est alimenté uniquement par des données autorisées et validées.</w:t>
            </w:r>
          </w:p>
        </w:tc>
      </w:tr>
    </w:tbl>
    <w:p>
      <w:pPr>
        <w:spacing w:after="40"/>
      </w:pPr>
    </w:p>
    <w:p>
      <w:pPr>
        <w:pStyle w:val="Heading2"/>
      </w:pPr>
      <w:r>
        <w:t>Points d'attention</w:t>
      </w:r>
    </w:p>
    <w:p>
      <w:pPr>
        <w:pStyle w:val="ListBullet"/>
      </w:pPr>
      <w:r>
        <w:t>Les rôles sont cumulatifs : vérifier l'impact avant une attribution.</w:t>
      </w:r>
    </w:p>
    <w:p>
      <w:pPr>
        <w:pStyle w:val="ListBullet"/>
      </w:pPr>
      <w:r>
        <w:t>Ne publier aucune donnée nominative sans validation et respect du périmètre autorisé.</w:t>
      </w:r>
    </w:p>
    <w:p>
      <w:pPr>
        <w:pStyle w:val="ListBullet"/>
      </w:pPr>
      <w:r>
        <w:t>Une valeur de référentiel modifiée peut influencer plusieurs pages : documenter le changement.</w:t>
      </w:r>
    </w:p>
    <w:p>
      <w:pPr>
        <w:pStyle w:val="Heading3"/>
      </w:pPr>
      <w:r>
        <w:t>Figure 11 - Administration et publication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F2F7F5"/>
            <w:tcMar>
              <w:top w:w="850" w:type="dxa"/>
              <w:start w:w="180" w:type="dxa"/>
              <w:bottom w:w="850" w:type="dxa"/>
              <w:end w:w="180" w:type="dxa"/>
            </w:tcMar>
            <w:tcBorders>
              <w:top w:val="single" w:sz="6" w:color="9EC8B9"/>
              <w:left w:val="single" w:sz="6" w:color="9EC8B9"/>
              <w:bottom w:val="single" w:sz="6" w:color="9EC8B9"/>
              <w:right w:val="single" w:sz="6" w:color="9EC8B9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87659"/>
                <w:sz w:val="22"/>
              </w:rPr>
              <w:t>CAPTURE D'ÉCRAN À INSÉRER</w:t>
            </w:r>
          </w:p>
          <w:p>
            <w:pPr>
              <w:jc w:val="center"/>
            </w:pPr>
            <w:r>
              <w:rPr>
                <w:rFonts w:ascii="Aptos" w:hAnsi="Aptos"/>
                <w:i/>
                <w:color w:val="627A72"/>
                <w:sz w:val="17"/>
              </w:rPr>
              <w:t>Masquer les données nominatives, identifiants, adresses électroniques et informations sensibles.</w:t>
            </w:r>
          </w:p>
        </w:tc>
      </w:tr>
    </w:tbl>
    <w:p>
      <w:pPr>
        <w:spacing w:before="60" w:after="200"/>
      </w:pPr>
      <w:r>
        <w:rPr>
          <w:rFonts w:ascii="Aptos" w:hAnsi="Aptos"/>
          <w:b/>
          <w:color w:val="064A3A"/>
          <w:sz w:val="17"/>
        </w:rPr>
        <w:t xml:space="preserve">Légende à compléter : </w:t>
      </w:r>
      <w:r>
        <w:rPr>
          <w:rFonts w:ascii="Aptos" w:hAnsi="Aptos"/>
          <w:color w:val="627A72"/>
          <w:sz w:val="17"/>
        </w:rPr>
        <w:t>Repérer les onglets utilisateurs, rôles, référentiels, règles, brouillons, approbations et publications retirées.</w:t>
      </w:r>
    </w:p>
    <w:p>
      <w:r>
        <w:br w:type="page"/>
      </w:r>
    </w:p>
    <w:p>
      <w:pPr>
        <w:pStyle w:val="Heading1"/>
      </w:pPr>
      <w:r>
        <w:t>12. Rapports, journal d'audit, qualité et sauvegardes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BUT DU CHAPITRE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Produire des informations fiables, vérifier la traçabilité et protéger la continuité du système.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Utilisateurs concernés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Utilisateurs autorisés aux rapports, à l'audit, à la qualité et aux sauvegardes.</w:t>
            </w:r>
          </w:p>
        </w:tc>
      </w:tr>
      <w:tr>
        <w:tc>
          <w:tcPr>
            <w:tcW w:type="dxa" w:w="4706"/>
            <w:shd w:fill="EAF6F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64A3A"/>
                <w:sz w:val="18"/>
              </w:rPr>
              <w:t>Prérequis</w:t>
            </w:r>
          </w:p>
        </w:tc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8"/>
              </w:rPr>
              <w:t>Droits appropriés ; période, périmètre et objectif de l'opération définis.</w:t>
            </w:r>
          </w:p>
        </w:tc>
      </w:tr>
    </w:tbl>
    <w:p>
      <w:pPr>
        <w:spacing w:after="40"/>
      </w:pPr>
    </w:p>
    <w:p>
      <w:pPr>
        <w:pStyle w:val="Heading2"/>
      </w:pPr>
      <w:r>
        <w:t>Générer un rapport</w:t>
      </w:r>
    </w:p>
    <w:p>
      <w:pPr>
        <w:pStyle w:val="ListNumber"/>
      </w:pPr>
      <w:r>
        <w:t>Ouvrir Rapports et choisir le modèle approprié.</w:t>
      </w:r>
    </w:p>
    <w:p>
      <w:pPr>
        <w:pStyle w:val="ListNumber"/>
      </w:pPr>
      <w:r>
        <w:t>Définir la période et les filtres nécessaires.</w:t>
      </w:r>
    </w:p>
    <w:p>
      <w:pPr>
        <w:pStyle w:val="ListNumber"/>
      </w:pPr>
      <w:r>
        <w:t>Choisir le format PDF, Excel ou CSV.</w:t>
      </w:r>
    </w:p>
    <w:p>
      <w:pPr>
        <w:pStyle w:val="ListNumber"/>
      </w:pPr>
      <w:r>
        <w:t>Contrôler l'en-tête HAUQE, les tableaux, les dates et le périmètre avant diffusion.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Le rapport est conservé dans l'historique avec son format, sa date et son demandeur.</w:t>
            </w:r>
          </w:p>
        </w:tc>
      </w:tr>
    </w:tbl>
    <w:p>
      <w:pPr>
        <w:spacing w:after="40"/>
      </w:pPr>
    </w:p>
    <w:p>
      <w:pPr>
        <w:pStyle w:val="Heading2"/>
      </w:pPr>
      <w:r>
        <w:t>Consulter le journal d'audit</w:t>
      </w:r>
    </w:p>
    <w:p>
      <w:pPr>
        <w:pStyle w:val="ListNumber"/>
      </w:pPr>
      <w:r>
        <w:t>Ouvrir Journal d'audit.</w:t>
      </w:r>
    </w:p>
    <w:p>
      <w:pPr>
        <w:pStyle w:val="ListNumber"/>
      </w:pPr>
      <w:r>
        <w:t>Filtrer par utilisateur, période, type d'action ou ressource.</w:t>
      </w:r>
    </w:p>
    <w:p>
      <w:pPr>
        <w:pStyle w:val="ListNumber"/>
      </w:pPr>
      <w:r>
        <w:t>Lire les valeurs avant/après lorsque disponibles.</w:t>
      </w:r>
    </w:p>
    <w:p>
      <w:pPr>
        <w:pStyle w:val="ListNumber"/>
      </w:pPr>
      <w:r>
        <w:t>Exporter uniquement les informations nécessaires à l'analyse.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Les événements sont compréhensibles et le nom des utilisateurs autorisés reste lisible.</w:t>
            </w:r>
          </w:p>
        </w:tc>
      </w:tr>
    </w:tbl>
    <w:p>
      <w:pPr>
        <w:spacing w:after="40"/>
      </w:pPr>
    </w:p>
    <w:p>
      <w:pPr>
        <w:pStyle w:val="Heading2"/>
      </w:pPr>
      <w:r>
        <w:t>Lancer ou suivre une sauvegarde</w:t>
      </w:r>
    </w:p>
    <w:p>
      <w:pPr>
        <w:pStyle w:val="ListNumber"/>
      </w:pPr>
      <w:r>
        <w:t>Ouvrir Sauvegardes et choisir système, documents ou complète.</w:t>
      </w:r>
    </w:p>
    <w:p>
      <w:pPr>
        <w:pStyle w:val="ListNumber"/>
      </w:pPr>
      <w:r>
        <w:t>Pour une sauvegarde manuelle, confirmer l'action et attendre la progression.</w:t>
      </w:r>
    </w:p>
    <w:p>
      <w:pPr>
        <w:pStyle w:val="ListNumber"/>
      </w:pPr>
      <w:r>
        <w:t>Vérifier le résultat, l'empreinte ou le statut final.</w:t>
      </w:r>
    </w:p>
    <w:p>
      <w:pPr>
        <w:pStyle w:val="ListNumber"/>
      </w:pPr>
      <w:r>
        <w:t>Planifier les sauvegardes automatiques et effectuer périodiquement un test de restauration supervisé.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AF6F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6" w:color="A9CFC0"/>
              <w:left w:val="single" w:sz="6" w:color="A9CFC0"/>
              <w:bottom w:val="single" w:sz="6" w:color="A9CFC0"/>
              <w:right w:val="single" w:sz="6" w:color="A9CFC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64A3A"/>
                <w:sz w:val="17"/>
              </w:rPr>
              <w:t>RÉSULTAT ATTENDU</w:t>
            </w:r>
          </w:p>
          <w:p>
            <w:pPr>
              <w:spacing w:after="0"/>
            </w:pPr>
            <w:r>
              <w:rPr>
                <w:rFonts w:ascii="Aptos" w:hAnsi="Aptos"/>
                <w:color w:val="183B32"/>
                <w:sz w:val="18"/>
              </w:rPr>
              <w:t>Une archive cohérente est produite, sans restaurer directement en production.</w:t>
            </w:r>
          </w:p>
        </w:tc>
      </w:tr>
    </w:tbl>
    <w:p>
      <w:pPr>
        <w:spacing w:after="40"/>
      </w:pPr>
    </w:p>
    <w:p>
      <w:pPr>
        <w:pStyle w:val="Heading2"/>
      </w:pPr>
      <w:r>
        <w:t>Points d'attention</w:t>
      </w:r>
    </w:p>
    <w:p>
      <w:pPr>
        <w:pStyle w:val="ListBullet"/>
      </w:pPr>
      <w:r>
        <w:t>Une sauvegarde manuelle peut bloquer temporairement certaines actions : prévenir les utilisateurs concernés.</w:t>
      </w:r>
    </w:p>
    <w:p>
      <w:pPr>
        <w:pStyle w:val="ListBullet"/>
      </w:pPr>
      <w:r>
        <w:t>Ne pas télécharger ni partager une sauvegarde hors du périmètre autorisé.</w:t>
      </w:r>
    </w:p>
    <w:p>
      <w:pPr>
        <w:pStyle w:val="ListBullet"/>
      </w:pPr>
      <w:r>
        <w:t>Le journal d'audit sert à comprendre une action ; il ne remplace pas une enquête ou une décision formelle.</w:t>
      </w:r>
    </w:p>
    <w:p>
      <w:pPr>
        <w:pStyle w:val="Heading3"/>
      </w:pPr>
      <w:r>
        <w:t>Figure 12 - Rapports, audit et sauvegardes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F2F7F5"/>
            <w:tcMar>
              <w:top w:w="850" w:type="dxa"/>
              <w:start w:w="180" w:type="dxa"/>
              <w:bottom w:w="850" w:type="dxa"/>
              <w:end w:w="180" w:type="dxa"/>
            </w:tcMar>
            <w:tcBorders>
              <w:top w:val="single" w:sz="6" w:color="9EC8B9"/>
              <w:left w:val="single" w:sz="6" w:color="9EC8B9"/>
              <w:bottom w:val="single" w:sz="6" w:color="9EC8B9"/>
              <w:right w:val="single" w:sz="6" w:color="9EC8B9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87659"/>
                <w:sz w:val="22"/>
              </w:rPr>
              <w:t>CAPTURE D'ÉCRAN À INSÉRER</w:t>
            </w:r>
          </w:p>
          <w:p>
            <w:pPr>
              <w:jc w:val="center"/>
            </w:pPr>
            <w:r>
              <w:rPr>
                <w:rFonts w:ascii="Aptos" w:hAnsi="Aptos"/>
                <w:i/>
                <w:color w:val="627A72"/>
                <w:sz w:val="17"/>
              </w:rPr>
              <w:t>Masquer les données nominatives, identifiants, adresses électroniques et informations sensibles.</w:t>
            </w:r>
          </w:p>
        </w:tc>
      </w:tr>
    </w:tbl>
    <w:p>
      <w:pPr>
        <w:spacing w:before="60" w:after="200"/>
      </w:pPr>
      <w:r>
        <w:rPr>
          <w:rFonts w:ascii="Aptos" w:hAnsi="Aptos"/>
          <w:b/>
          <w:color w:val="064A3A"/>
          <w:sz w:val="17"/>
        </w:rPr>
        <w:t xml:space="preserve">Légende à compléter : </w:t>
      </w:r>
      <w:r>
        <w:rPr>
          <w:rFonts w:ascii="Aptos" w:hAnsi="Aptos"/>
          <w:color w:val="627A72"/>
          <w:sz w:val="17"/>
        </w:rPr>
        <w:t>Repérer le choix de rapport, les filtres, l'historique, les types de sauvegarde, la progression et le résultat final.</w:t>
      </w:r>
    </w:p>
    <w:p>
      <w:r>
        <w:br w:type="page"/>
      </w:r>
    </w:p>
    <w:p>
      <w:pPr>
        <w:pStyle w:val="Heading1"/>
      </w:pPr>
      <w:r>
        <w:t>Annexes</w:t>
      </w:r>
    </w:p>
    <w:p>
      <w:pPr>
        <w:pStyle w:val="Heading2"/>
      </w:pPr>
      <w:r>
        <w:t>Checklist avant une action sensible</w:t>
      </w:r>
    </w:p>
    <w:p>
      <w:pPr>
        <w:pStyle w:val="ListBullet"/>
      </w:pPr>
      <w:r>
        <w:t>J'ai ouvert le bon dossier et lu son historique.</w:t>
      </w:r>
    </w:p>
    <w:p>
      <w:pPr>
        <w:pStyle w:val="ListBullet"/>
      </w:pPr>
      <w:r>
        <w:t>Je dispose de la permission nécessaire.</w:t>
      </w:r>
    </w:p>
    <w:p>
      <w:pPr>
        <w:pStyle w:val="ListBullet"/>
      </w:pPr>
      <w:r>
        <w:t>Les données saisies sont appuyées par une pièce ou une source identifiable.</w:t>
      </w:r>
    </w:p>
    <w:p>
      <w:pPr>
        <w:pStyle w:val="ListBullet"/>
      </w:pPr>
      <w:r>
        <w:t>La décision ou la clôture est motivée.</w:t>
      </w:r>
    </w:p>
    <w:p>
      <w:pPr>
        <w:pStyle w:val="ListBullet"/>
      </w:pPr>
      <w:r>
        <w:t>Je sais quel utilisateur ou quel module recevra la suite du traitement.</w:t>
      </w:r>
    </w:p>
    <w:p>
      <w:pPr>
        <w:pStyle w:val="ListBullet"/>
      </w:pPr>
      <w:r>
        <w:t>Je n'ai pas exposé de données sensibles dans un commentaire, une capture ou un courriel.</w:t>
      </w:r>
    </w:p>
    <w:p>
      <w:pPr>
        <w:pStyle w:val="Heading2"/>
      </w:pPr>
      <w:r>
        <w:t>Erreurs fréquentes et première réaction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fill="08765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Situation</w:t>
            </w:r>
          </w:p>
        </w:tc>
        <w:tc>
          <w:tcPr>
            <w:tcW w:type="dxa" w:w="6746"/>
            <w:shd w:fill="08765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Réaction attendue</w:t>
            </w:r>
          </w:p>
        </w:tc>
      </w:tr>
      <w:tr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Bouton sans réaction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Attendre la fin de l'indicateur de chargement, actualiser si nécessaire, puis signaler l'erreur avec la page et l'heure.</w:t>
            </w:r>
          </w:p>
        </w:tc>
      </w:tr>
      <w:tr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Accès refusé</w:t>
            </w:r>
          </w:p>
        </w:tc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Vérifier le rôle attribué ; ne pas demander le mot de passe d'un autre utilisateur.</w:t>
            </w:r>
          </w:p>
        </w:tc>
      </w:tr>
      <w:tr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Doublon détecté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Rechercher l'entité existante et utiliser le dossier courant ou la fonction de rapprochement.</w:t>
            </w:r>
          </w:p>
        </w:tc>
      </w:tr>
      <w:tr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Courriel non reçu</w:t>
            </w:r>
          </w:p>
        </w:tc>
        <w:tc>
          <w:tcPr>
            <w:tcW w:type="dxa" w:w="4706"/>
            <w:shd w:fill="F7FBF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Vérifier l'adresse, la file de notification et le délai prévu avant de relancer.</w:t>
            </w:r>
          </w:p>
        </w:tc>
      </w:tr>
      <w:tr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Donnée incohérente</w:t>
            </w:r>
          </w:p>
        </w:tc>
        <w:tc>
          <w:tcPr>
            <w:tcW w:type="dxa" w:w="4706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Ne pas l'écraser sans preuve ; utiliser correction, anomalie ou décision selon le parcours.</w:t>
            </w:r>
          </w:p>
        </w:tc>
      </w:tr>
    </w:tbl>
    <w:p>
      <w:pPr>
        <w:spacing w:after="40"/>
      </w:pPr>
    </w:p>
    <w:p>
      <w:pPr>
        <w:pStyle w:val="Heading2"/>
      </w:pPr>
      <w:r>
        <w:t>Historique des versions du guide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fill="08765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14"/>
            <w:shd w:fill="08765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5839"/>
            <w:shd w:fill="08765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Évolution</w:t>
            </w:r>
          </w:p>
        </w:tc>
      </w:tr>
      <w:tr>
        <w:tc>
          <w:tcPr>
            <w:tcW w:type="dxa" w:w="3137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1.0</w:t>
            </w:r>
          </w:p>
        </w:tc>
        <w:tc>
          <w:tcPr>
            <w:tcW w:type="dxa" w:w="3137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Août 2026</w:t>
            </w:r>
          </w:p>
        </w:tc>
        <w:tc>
          <w:tcPr>
            <w:tcW w:type="dxa" w:w="3137"/>
            <w:shd w:fill="FFFFF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9DED6"/>
              <w:left w:val="single" w:sz="6" w:color="C9DED6"/>
              <w:bottom w:val="single" w:sz="6" w:color="C9DED6"/>
              <w:right w:val="single" w:sz="6" w:color="C9DED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B32"/>
                <w:sz w:val="17"/>
              </w:rPr>
              <w:t>Refonte opérationnelle : procédures détaillées, rôles, contrôles et espaces de captures.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27A72"/>
        <w:sz w:val="16"/>
      </w:rPr>
      <w:t xml:space="preserve">Diffusion interne - Version 1.0 - Août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087659"/>
        <w:sz w:val="16"/>
      </w:rPr>
      <w:t>HAUQE  |  SNGSC - Guide global d'utilisation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Aptos" w:hAnsi="Aptos"/>
      <w:color w:val="183B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64A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6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4A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global d'utilisation SNGSC / HAUQE</dc:title>
  <dc:subject>Manuel opérationnel des utilisateurs habilités</dc:subject>
  <dc:creator>HAUQE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