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800"/>
        <w:jc w:val="center"/>
      </w:pPr>
      <w:r>
        <w:rPr>
          <w:b/>
          <w:color w:val="000000"/>
          <w:sz w:val="28"/>
        </w:rPr>
        <w:t>HAUQE</w:t>
      </w:r>
    </w:p>
    <w:p>
      <w:pPr>
        <w:pStyle w:val="Title"/>
        <w:spacing w:before="1100"/>
        <w:jc w:val="center"/>
      </w:pPr>
      <w:r>
        <w:t>Carnet individuel de suivi de la formation SNGSC</w:t>
      </w:r>
    </w:p>
    <w:p>
      <w:pPr>
        <w:pStyle w:val="Subtitle"/>
        <w:jc w:val="center"/>
      </w:pPr>
      <w:r>
        <w:rPr>
          <w:color w:val="000000"/>
          <w:sz w:val="26"/>
        </w:rPr>
        <w:t>Support pas à pas pour les utilisateurs</w:t>
      </w:r>
    </w:p>
    <w:p>
      <w:pPr>
        <w:spacing w:before="560" w:after="400"/>
        <w:jc w:val="center"/>
      </w:pPr>
      <w:r>
        <w:rPr>
          <w:sz w:val="22"/>
        </w:rPr>
        <w:t>Ce carnet accompagne la formation au Système National de Gestion et de Suivi des Certifications. Chaque fiche reprend les étapes opérationnelles du Guide global d'utilisation et permet au participant de suivre les exercices, d'évaluer sa compréhension et de noter ses questions.</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880"/>
        <w:gridCol w:w="7056"/>
      </w:tblGrid>
      <w:tr>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color w:val="000000"/>
                <w:sz w:val="20"/>
              </w:rPr>
              <w:t>Nom et prénoms</w:t>
            </w:r>
          </w:p>
        </w:tc>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20"/>
              </w:rPr>
              <w:br/>
            </w:r>
          </w:p>
        </w:tc>
      </w:tr>
      <w:tr>
        <w:tc>
          <w:tcPr>
            <w:tcW w:type="dxa" w:w="5227"/>
            <w:vAlign w:val="center"/>
            <w:tcMar>
              <w:top w:w="90" w:type="dxa"/>
              <w:start w:w="90" w:type="dxa"/>
              <w:bottom w:w="90" w:type="dxa"/>
              <w:end w:w="90" w:type="dxa"/>
            </w:tcMar>
          </w:tcPr>
          <w:p>
            <w:pPr>
              <w:spacing w:before="0" w:after="0" w:line="240" w:lineRule="auto"/>
              <w:jc w:val="left"/>
            </w:pPr>
            <w:r/>
            <w:r>
              <w:rPr>
                <w:rFonts w:ascii="Aptos" w:hAnsi="Aptos"/>
                <w:b/>
                <w:color w:val="000000"/>
                <w:sz w:val="20"/>
              </w:rPr>
              <w:t>Fonction</w:t>
            </w:r>
          </w:p>
        </w:tc>
        <w:tc>
          <w:tcPr>
            <w:tcW w:type="dxa" w:w="5227"/>
            <w:vAlign w:val="center"/>
            <w:tcMar>
              <w:top w:w="90" w:type="dxa"/>
              <w:start w:w="90" w:type="dxa"/>
              <w:bottom w:w="90" w:type="dxa"/>
              <w:end w:w="90" w:type="dxa"/>
            </w:tcMar>
          </w:tcPr>
          <w:p>
            <w:pPr>
              <w:spacing w:before="0" w:after="0" w:line="240" w:lineRule="auto"/>
              <w:jc w:val="left"/>
            </w:pPr>
            <w:r/>
            <w:r>
              <w:rPr>
                <w:rFonts w:ascii="Aptos" w:hAnsi="Aptos"/>
                <w:b w:val="0"/>
                <w:color w:val="000000"/>
                <w:sz w:val="20"/>
              </w:rPr>
              <w:br/>
            </w:r>
          </w:p>
        </w:tc>
      </w:tr>
      <w:tr>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color w:val="000000"/>
                <w:sz w:val="20"/>
              </w:rPr>
              <w:t>Structure</w:t>
            </w:r>
          </w:p>
        </w:tc>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20"/>
              </w:rPr>
              <w:br/>
            </w:r>
          </w:p>
        </w:tc>
      </w:tr>
      <w:tr>
        <w:tc>
          <w:tcPr>
            <w:tcW w:type="dxa" w:w="5227"/>
            <w:vAlign w:val="center"/>
            <w:tcMar>
              <w:top w:w="90" w:type="dxa"/>
              <w:start w:w="90" w:type="dxa"/>
              <w:bottom w:w="90" w:type="dxa"/>
              <w:end w:w="90" w:type="dxa"/>
            </w:tcMar>
          </w:tcPr>
          <w:p>
            <w:pPr>
              <w:spacing w:before="0" w:after="0" w:line="240" w:lineRule="auto"/>
              <w:jc w:val="left"/>
            </w:pPr>
            <w:r/>
            <w:r>
              <w:rPr>
                <w:rFonts w:ascii="Aptos" w:hAnsi="Aptos"/>
                <w:b/>
                <w:color w:val="000000"/>
                <w:sz w:val="20"/>
              </w:rPr>
              <w:t>Rôle dans le SNGSC</w:t>
            </w:r>
          </w:p>
        </w:tc>
        <w:tc>
          <w:tcPr>
            <w:tcW w:type="dxa" w:w="5227"/>
            <w:vAlign w:val="center"/>
            <w:tcMar>
              <w:top w:w="90" w:type="dxa"/>
              <w:start w:w="90" w:type="dxa"/>
              <w:bottom w:w="90" w:type="dxa"/>
              <w:end w:w="90" w:type="dxa"/>
            </w:tcMar>
          </w:tcPr>
          <w:p>
            <w:pPr>
              <w:spacing w:before="0" w:after="0" w:line="240" w:lineRule="auto"/>
              <w:jc w:val="left"/>
            </w:pPr>
            <w:r/>
            <w:r>
              <w:rPr>
                <w:rFonts w:ascii="Aptos" w:hAnsi="Aptos"/>
                <w:b w:val="0"/>
                <w:color w:val="000000"/>
                <w:sz w:val="20"/>
              </w:rPr>
              <w:br/>
            </w:r>
          </w:p>
        </w:tc>
      </w:tr>
      <w:tr>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color w:val="000000"/>
                <w:sz w:val="20"/>
              </w:rPr>
              <w:t>Dates de formation</w:t>
            </w:r>
          </w:p>
        </w:tc>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20"/>
              </w:rPr>
              <w:t>22 au 24 septembre 2026</w:t>
            </w:r>
          </w:p>
        </w:tc>
      </w:tr>
    </w:tbl>
    <w:p>
      <w:pPr>
        <w:spacing w:before="480"/>
        <w:jc w:val="center"/>
      </w:pPr>
      <w:r>
        <w:rPr>
          <w:i/>
          <w:sz w:val="20"/>
        </w:rPr>
        <w:t>Document de travail individuel à conserver pendant toute la formation</w:t>
      </w:r>
    </w:p>
    <w:p>
      <w:r>
        <w:br w:type="page"/>
      </w:r>
    </w:p>
    <w:p>
      <w:pPr>
        <w:pStyle w:val="Heading1"/>
        <w:jc w:val="center"/>
      </w:pPr>
      <w:r>
        <w:t>Tableau de bord personnel de la formation</w:t>
      </w:r>
    </w:p>
    <w:p>
      <w:pPr>
        <w:spacing w:after="160"/>
      </w:pPr>
      <w:r>
        <w:t>Après chaque module, cochez votre niveau de compréhension. Utilisez la fiche détaillée correspondante pour noter les difficultés et les questions à reprendre avec le formateur.</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547"/>
        <w:gridCol w:w="5112"/>
        <w:gridCol w:w="936"/>
        <w:gridCol w:w="1080"/>
        <w:gridCol w:w="1080"/>
        <w:gridCol w:w="1224"/>
      </w:tblGrid>
      <w:tr>
        <w:trPr>
          <w:tblHeader w:val="true"/>
        </w:trPr>
        <w:tc>
          <w:tcPr>
            <w:tcW w:type="dxa" w:w="1742"/>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N°</w:t>
            </w:r>
          </w:p>
        </w:tc>
        <w:tc>
          <w:tcPr>
            <w:tcW w:type="dxa" w:w="1742"/>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Module</w:t>
            </w:r>
          </w:p>
        </w:tc>
        <w:tc>
          <w:tcPr>
            <w:tcW w:type="dxa" w:w="1742"/>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Suivi</w:t>
            </w:r>
          </w:p>
        </w:tc>
        <w:tc>
          <w:tcPr>
            <w:tcW w:type="dxa" w:w="1742"/>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Compris</w:t>
            </w:r>
          </w:p>
        </w:tc>
        <w:tc>
          <w:tcPr>
            <w:tcW w:type="dxa" w:w="1742"/>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À revoir</w:t>
            </w:r>
          </w:p>
        </w:tc>
        <w:tc>
          <w:tcPr>
            <w:tcW w:type="dxa" w:w="1742"/>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Assistance</w:t>
            </w:r>
          </w:p>
        </w:tc>
      </w:tr>
      <w:tr>
        <w:tc>
          <w:tcPr>
            <w:tcW w:type="dxa" w:w="547"/>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1</w:t>
            </w:r>
          </w:p>
        </w:tc>
        <w:tc>
          <w:tcPr>
            <w:tcW w:type="dxa" w:w="5112"/>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Comprendre le parcours d'un dossier</w:t>
            </w:r>
          </w:p>
        </w:tc>
        <w:tc>
          <w:tcPr>
            <w:tcW w:type="dxa" w:w="936"/>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2</w:t>
            </w:r>
          </w:p>
        </w:tc>
        <w:tc>
          <w:tcPr>
            <w:tcW w:type="dxa" w:w="5112"/>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Connexion et sécurité</w:t>
            </w:r>
          </w:p>
        </w:tc>
        <w:tc>
          <w:tcPr>
            <w:tcW w:type="dxa" w:w="936"/>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3</w:t>
            </w:r>
          </w:p>
        </w:tc>
        <w:tc>
          <w:tcPr>
            <w:tcW w:type="dxa" w:w="5112"/>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Profil préférences et notifications</w:t>
            </w:r>
          </w:p>
        </w:tc>
        <w:tc>
          <w:tcPr>
            <w:tcW w:type="dxa" w:w="936"/>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4</w:t>
            </w:r>
          </w:p>
        </w:tc>
        <w:tc>
          <w:tcPr>
            <w:tcW w:type="dxa" w:w="5112"/>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Tableau de bord alertes et échéances</w:t>
            </w:r>
          </w:p>
        </w:tc>
        <w:tc>
          <w:tcPr>
            <w:tcW w:type="dxa" w:w="936"/>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5</w:t>
            </w:r>
          </w:p>
        </w:tc>
        <w:tc>
          <w:tcPr>
            <w:tcW w:type="dxa" w:w="5112"/>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Entreprises organismes zones et certifications</w:t>
            </w:r>
          </w:p>
        </w:tc>
        <w:tc>
          <w:tcPr>
            <w:tcW w:type="dxa" w:w="936"/>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6</w:t>
            </w:r>
          </w:p>
        </w:tc>
        <w:tc>
          <w:tcPr>
            <w:tcW w:type="dxa" w:w="5112"/>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Campagnes missions et collecte</w:t>
            </w:r>
          </w:p>
        </w:tc>
        <w:tc>
          <w:tcPr>
            <w:tcW w:type="dxa" w:w="936"/>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7</w:t>
            </w:r>
          </w:p>
        </w:tc>
        <w:tc>
          <w:tcPr>
            <w:tcW w:type="dxa" w:w="5112"/>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Vérification documentaire et contrôle FUCCS</w:t>
            </w:r>
          </w:p>
        </w:tc>
        <w:tc>
          <w:tcPr>
            <w:tcW w:type="dxa" w:w="936"/>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8</w:t>
            </w:r>
          </w:p>
        </w:tc>
        <w:tc>
          <w:tcPr>
            <w:tcW w:type="dxa" w:w="5112"/>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Validation et intégration BNEC</w:t>
            </w:r>
          </w:p>
        </w:tc>
        <w:tc>
          <w:tcPr>
            <w:tcW w:type="dxa" w:w="936"/>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9</w:t>
            </w:r>
          </w:p>
        </w:tc>
        <w:tc>
          <w:tcPr>
            <w:tcW w:type="dxa" w:w="5112"/>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Classification globale de l'entreprise</w:t>
            </w:r>
          </w:p>
        </w:tc>
        <w:tc>
          <w:tcPr>
            <w:tcW w:type="dxa" w:w="936"/>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10</w:t>
            </w:r>
          </w:p>
        </w:tc>
        <w:tc>
          <w:tcPr>
            <w:tcW w:type="dxa" w:w="5112"/>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Calcul et validation de l'INFC</w:t>
            </w:r>
          </w:p>
        </w:tc>
        <w:tc>
          <w:tcPr>
            <w:tcW w:type="dxa" w:w="936"/>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11</w:t>
            </w:r>
          </w:p>
        </w:tc>
        <w:tc>
          <w:tcPr>
            <w:tcW w:type="dxa" w:w="5112"/>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Classement SNCC</w:t>
            </w:r>
          </w:p>
        </w:tc>
        <w:tc>
          <w:tcPr>
            <w:tcW w:type="dxa" w:w="936"/>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12</w:t>
            </w:r>
          </w:p>
        </w:tc>
        <w:tc>
          <w:tcPr>
            <w:tcW w:type="dxa" w:w="5112"/>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Veille relances et décisions</w:t>
            </w:r>
          </w:p>
        </w:tc>
        <w:tc>
          <w:tcPr>
            <w:tcW w:type="dxa" w:w="936"/>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13</w:t>
            </w:r>
          </w:p>
        </w:tc>
        <w:tc>
          <w:tcPr>
            <w:tcW w:type="dxa" w:w="5112"/>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Administration règles et publication</w:t>
            </w:r>
          </w:p>
        </w:tc>
        <w:tc>
          <w:tcPr>
            <w:tcW w:type="dxa" w:w="936"/>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tcPr>
          <w:p>
            <w:pPr>
              <w:spacing w:before="0" w:after="0" w:line="240" w:lineRule="auto"/>
              <w:jc w:val="center"/>
            </w:pPr>
            <w:r/>
            <w:r>
              <w:rPr>
                <w:rFonts w:ascii="Aptos" w:hAnsi="Aptos"/>
                <w:b w:val="0"/>
                <w:color w:val="000000"/>
                <w:sz w:val="17"/>
              </w:rPr>
              <w:t>☐</w:t>
            </w:r>
          </w:p>
        </w:tc>
      </w:tr>
      <w:tr>
        <w:tc>
          <w:tcPr>
            <w:tcW w:type="dxa" w:w="547"/>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14</w:t>
            </w:r>
          </w:p>
        </w:tc>
        <w:tc>
          <w:tcPr>
            <w:tcW w:type="dxa" w:w="5112"/>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Rapports audit et sauvegardes</w:t>
            </w:r>
          </w:p>
        </w:tc>
        <w:tc>
          <w:tcPr>
            <w:tcW w:type="dxa" w:w="936"/>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080"/>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c>
          <w:tcPr>
            <w:tcW w:type="dxa" w:w="1224"/>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17"/>
              </w:rPr>
              <w:t>☐</w:t>
            </w:r>
          </w:p>
        </w:tc>
      </w:tr>
    </w:tbl>
    <w:p>
      <w:pPr>
        <w:pStyle w:val="Heading2"/>
      </w:pPr>
      <w:r>
        <w:t>Échelle d'autoévaluation</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232"/>
        <w:gridCol w:w="7704"/>
      </w:tblGrid>
      <w:tr>
        <w:tc>
          <w:tcPr>
            <w:tcW w:type="dxa" w:w="5227"/>
            <w:vAlign w:val="center"/>
            <w:tcMar>
              <w:top w:w="90" w:type="dxa"/>
              <w:start w:w="90" w:type="dxa"/>
              <w:bottom w:w="90" w:type="dxa"/>
              <w:end w:w="90" w:type="dxa"/>
            </w:tcMar>
          </w:tcPr>
          <w:p>
            <w:pPr>
              <w:spacing w:before="0" w:after="0" w:line="240" w:lineRule="auto"/>
              <w:jc w:val="left"/>
            </w:pPr>
            <w:r/>
            <w:r>
              <w:rPr>
                <w:rFonts w:ascii="Aptos" w:hAnsi="Aptos"/>
                <w:b/>
                <w:color w:val="000000"/>
                <w:sz w:val="18"/>
              </w:rPr>
              <w:t>☐ Compris</w:t>
            </w:r>
          </w:p>
        </w:tc>
        <w:tc>
          <w:tcPr>
            <w:tcW w:type="dxa" w:w="5227"/>
            <w:vAlign w:val="center"/>
            <w:tcMar>
              <w:top w:w="90" w:type="dxa"/>
              <w:start w:w="90" w:type="dxa"/>
              <w:bottom w:w="90" w:type="dxa"/>
              <w:end w:w="90" w:type="dxa"/>
            </w:tcMar>
          </w:tcPr>
          <w:p>
            <w:pPr>
              <w:spacing w:before="0" w:after="0" w:line="240" w:lineRule="auto"/>
              <w:jc w:val="left"/>
            </w:pPr>
            <w:r/>
            <w:r>
              <w:rPr>
                <w:rFonts w:ascii="Aptos" w:hAnsi="Aptos"/>
                <w:b w:val="0"/>
                <w:color w:val="000000"/>
                <w:sz w:val="18"/>
              </w:rPr>
              <w:t>Je peux réaliser l'opération seul et expliquer son objectif.</w:t>
            </w:r>
          </w:p>
        </w:tc>
      </w:tr>
      <w:tr>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color w:val="000000"/>
                <w:sz w:val="18"/>
              </w:rPr>
              <w:t>☐ À revoir</w:t>
            </w:r>
          </w:p>
        </w:tc>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8"/>
              </w:rPr>
              <w:t>Je connais l'objectif mais j'ai encore besoin du guide ou d'une démonstration.</w:t>
            </w:r>
          </w:p>
        </w:tc>
      </w:tr>
      <w:tr>
        <w:tc>
          <w:tcPr>
            <w:tcW w:type="dxa" w:w="5227"/>
            <w:vAlign w:val="center"/>
            <w:tcMar>
              <w:top w:w="90" w:type="dxa"/>
              <w:start w:w="90" w:type="dxa"/>
              <w:bottom w:w="90" w:type="dxa"/>
              <w:end w:w="90" w:type="dxa"/>
            </w:tcMar>
          </w:tcPr>
          <w:p>
            <w:pPr>
              <w:spacing w:before="0" w:after="0" w:line="240" w:lineRule="auto"/>
              <w:jc w:val="left"/>
            </w:pPr>
            <w:r/>
            <w:r>
              <w:rPr>
                <w:rFonts w:ascii="Aptos" w:hAnsi="Aptos"/>
                <w:b/>
                <w:color w:val="000000"/>
                <w:sz w:val="18"/>
              </w:rPr>
              <w:t>☐ Assistance</w:t>
            </w:r>
          </w:p>
        </w:tc>
        <w:tc>
          <w:tcPr>
            <w:tcW w:type="dxa" w:w="5227"/>
            <w:vAlign w:val="center"/>
            <w:tcMar>
              <w:top w:w="90" w:type="dxa"/>
              <w:start w:w="90" w:type="dxa"/>
              <w:bottom w:w="90" w:type="dxa"/>
              <w:end w:w="90" w:type="dxa"/>
            </w:tcMar>
          </w:tcPr>
          <w:p>
            <w:pPr>
              <w:spacing w:before="0" w:after="0" w:line="240" w:lineRule="auto"/>
              <w:jc w:val="left"/>
            </w:pPr>
            <w:r/>
            <w:r>
              <w:rPr>
                <w:rFonts w:ascii="Aptos" w:hAnsi="Aptos"/>
                <w:b w:val="0"/>
                <w:color w:val="000000"/>
                <w:sz w:val="18"/>
              </w:rPr>
              <w:t>Je ne peux pas encore réaliser l'opération sans accompagnement.</w:t>
            </w:r>
          </w:p>
        </w:tc>
      </w:tr>
      <w:tr>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color w:val="000000"/>
                <w:sz w:val="18"/>
              </w:rPr>
              <w:t>☐ Non concerné</w:t>
            </w:r>
          </w:p>
        </w:tc>
        <w:tc>
          <w:tcPr>
            <w:tcW w:type="dxa" w:w="522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8"/>
              </w:rPr>
              <w:t>Cette opération ne correspond pas à mon rôle ou à mes permissions.</w:t>
            </w:r>
          </w:p>
        </w:tc>
      </w:tr>
    </w:tbl>
    <w:p>
      <w:pPr>
        <w:spacing w:before="80" w:after="60"/>
      </w:pPr>
      <w:r>
        <w:rPr>
          <w:b/>
          <w:sz w:val="19"/>
        </w:rPr>
        <w:t>Mes objectifs personnels pour cette formation</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br/>
            </w:r>
          </w:p>
        </w:tc>
      </w:tr>
    </w:tbl>
    <w:p>
      <w:pPr>
        <w:spacing w:before="80" w:after="60"/>
      </w:pPr>
      <w:r>
        <w:rPr>
          <w:b/>
          <w:sz w:val="19"/>
        </w:rPr>
        <w:t>Modules à reprendre en priorité</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r>
        <w:br w:type="page"/>
      </w:r>
    </w:p>
    <w:p>
      <w:pPr>
        <w:pStyle w:val="Heading1"/>
        <w:keepNext/>
      </w:pPr>
      <w:r>
        <w:t>Module 1  Comprendre le parcours d'un dossier</w:t>
      </w:r>
    </w:p>
    <w:p>
      <w:pPr>
        <w:spacing w:after="40" w:line="240" w:lineRule="auto"/>
      </w:pPr>
      <w:r>
        <w:rPr>
          <w:b/>
          <w:sz w:val="19"/>
        </w:rPr>
        <w:t xml:space="preserve">Référence </w:t>
      </w:r>
      <w:r>
        <w:rPr>
          <w:sz w:val="19"/>
        </w:rPr>
        <w:t>Guide global, chapitre 1</w:t>
      </w:r>
    </w:p>
    <w:p>
      <w:pPr>
        <w:spacing w:after="40" w:line="240" w:lineRule="auto"/>
      </w:pPr>
      <w:r>
        <w:rPr>
          <w:b/>
          <w:sz w:val="19"/>
        </w:rPr>
        <w:t xml:space="preserve">Objectif </w:t>
      </w:r>
      <w:r>
        <w:rPr>
          <w:sz w:val="19"/>
        </w:rPr>
        <w:t>Identifier l'étape courante d'un dossier, l'action suivante et la cause d'un éventuel blocage.</w:t>
      </w:r>
    </w:p>
    <w:p>
      <w:pPr>
        <w:spacing w:after="40" w:line="240" w:lineRule="auto"/>
      </w:pPr>
      <w:r>
        <w:rPr>
          <w:b/>
          <w:sz w:val="19"/>
        </w:rPr>
        <w:t xml:space="preserve">Profils concernés </w:t>
      </w:r>
      <w:r>
        <w:rPr>
          <w:sz w:val="19"/>
        </w:rPr>
        <w:t>Tous les participants</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Repérer les étapes du parcours : collecte, vérification, contrôle FUCCS, validation, intégration BNEC, classification et veille.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Identifier le statut courant du dossier et les actions déjà réalisées.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Vérifier le rôle autorisé à effectuer l'action suivante.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Lire le message de blocage et rechercher la donnée, la preuve ou la validation manquante.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Consulter l'historique avant de reprendre ou de corriger une opération.</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À partir d'un dossier présenté par le formateur, indiquez son étape actuelle, le rôle qui doit intervenir ensuite et la condition à satisfaire.</w:t>
      </w:r>
    </w:p>
    <w:p>
      <w:pPr>
        <w:spacing w:after="60"/>
      </w:pPr>
      <w:r>
        <w:rPr>
          <w:b/>
          <w:sz w:val="18"/>
        </w:rPr>
        <w:t xml:space="preserve">Résultat attendu  </w:t>
      </w:r>
      <w:r>
        <w:rPr>
          <w:sz w:val="18"/>
        </w:rPr>
        <w:t>Le participant explique le parcours sans confondre déclaration, contrôle, validation et intégration officielle.</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2  Connexion et sécurité</w:t>
      </w:r>
    </w:p>
    <w:p>
      <w:pPr>
        <w:spacing w:after="40" w:line="240" w:lineRule="auto"/>
      </w:pPr>
      <w:r>
        <w:rPr>
          <w:b/>
          <w:sz w:val="19"/>
        </w:rPr>
        <w:t xml:space="preserve">Référence </w:t>
      </w:r>
      <w:r>
        <w:rPr>
          <w:sz w:val="19"/>
        </w:rPr>
        <w:t>Guide global, chapitre 2</w:t>
      </w:r>
    </w:p>
    <w:p>
      <w:pPr>
        <w:spacing w:after="40" w:line="240" w:lineRule="auto"/>
      </w:pPr>
      <w:r>
        <w:rPr>
          <w:b/>
          <w:sz w:val="19"/>
        </w:rPr>
        <w:t xml:space="preserve">Objectif </w:t>
      </w:r>
      <w:r>
        <w:rPr>
          <w:sz w:val="19"/>
        </w:rPr>
        <w:t>Accéder au système, protéger son compte et reprendre une session verrouillée.</w:t>
      </w:r>
    </w:p>
    <w:p>
      <w:pPr>
        <w:spacing w:after="40" w:line="240" w:lineRule="auto"/>
      </w:pPr>
      <w:r>
        <w:rPr>
          <w:b/>
          <w:sz w:val="19"/>
        </w:rPr>
        <w:t xml:space="preserve">Profils concernés </w:t>
      </w:r>
      <w:r>
        <w:rPr>
          <w:sz w:val="19"/>
        </w:rPr>
        <w:t>Tous les utilisateurs</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Ouvrir la page de connexion.</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Saisir l'adresse professionnelle et le mot de passe.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Saisir le code temporaire MFA lorsqu'il est demandé.</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Vérifier que le tableau de bord, le nom et le rôle affichés sont corrects.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Utiliser Mot de passe oublié lorsque l'accès doit être récupéré.</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Déverrouiller la session avec le code privé configuré.</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Se déconnecter manuellement avant de quitter un poste partagé.</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Connectez-vous, vérifiez votre identité affichée, verrouillez la session puis déverrouillez-la.</w:t>
      </w:r>
    </w:p>
    <w:p>
      <w:pPr>
        <w:spacing w:after="60"/>
      </w:pPr>
      <w:r>
        <w:rPr>
          <w:b/>
          <w:sz w:val="18"/>
        </w:rPr>
        <w:t xml:space="preserve">Résultat attendu  </w:t>
      </w:r>
      <w:r>
        <w:rPr>
          <w:sz w:val="18"/>
        </w:rPr>
        <w:t>L'utilisateur accède à son espace sans communiquer son mot de passe, son code MFA ou son code de récupération.</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3  Profil préférences et notifications</w:t>
      </w:r>
    </w:p>
    <w:p>
      <w:pPr>
        <w:spacing w:after="40" w:line="240" w:lineRule="auto"/>
      </w:pPr>
      <w:r>
        <w:rPr>
          <w:b/>
          <w:sz w:val="19"/>
        </w:rPr>
        <w:t xml:space="preserve">Référence </w:t>
      </w:r>
      <w:r>
        <w:rPr>
          <w:sz w:val="19"/>
        </w:rPr>
        <w:t>Guide global, chapitre 3</w:t>
      </w:r>
    </w:p>
    <w:p>
      <w:pPr>
        <w:spacing w:after="40" w:line="240" w:lineRule="auto"/>
      </w:pPr>
      <w:r>
        <w:rPr>
          <w:b/>
          <w:sz w:val="19"/>
        </w:rPr>
        <w:t xml:space="preserve">Objectif </w:t>
      </w:r>
      <w:r>
        <w:rPr>
          <w:sz w:val="19"/>
        </w:rPr>
        <w:t>Mettre à jour les informations personnelles autorisées et traiter correctement les notifications.</w:t>
      </w:r>
    </w:p>
    <w:p>
      <w:pPr>
        <w:spacing w:after="40" w:line="240" w:lineRule="auto"/>
      </w:pPr>
      <w:r>
        <w:rPr>
          <w:b/>
          <w:sz w:val="19"/>
        </w:rPr>
        <w:t xml:space="preserve">Profils concernés </w:t>
      </w:r>
      <w:r>
        <w:rPr>
          <w:sz w:val="19"/>
        </w:rPr>
        <w:t>Tous les utilisateurs</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Ouvrir le menu utilisateur puis Mon profil.</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Corriger les coordonnées autorisées et enregistrer.</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Configurer, si nécessaire, la photo et les paramètres de sécurité.</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Choisir l'actualisation automatique parmi les intervalles proposés.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Ouvrir la cloche de notifications et consulter la ressource concernée.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Marquer une notification comme lue seulement après son traitement.</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Vérifiez votre profil, choisissez une préférence d'actualisation puis ouvrez une notification de démonstration.</w:t>
      </w:r>
    </w:p>
    <w:p>
      <w:pPr>
        <w:spacing w:after="60"/>
      </w:pPr>
      <w:r>
        <w:rPr>
          <w:b/>
          <w:sz w:val="18"/>
        </w:rPr>
        <w:t xml:space="preserve">Résultat attendu  </w:t>
      </w:r>
      <w:r>
        <w:rPr>
          <w:sz w:val="18"/>
        </w:rPr>
        <w:t>Les préférences sont enregistrées et l'utilisateur distingue une notification lue d'une action réellement traitée.</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4  Tableau de bord alertes et échéances</w:t>
      </w:r>
    </w:p>
    <w:p>
      <w:pPr>
        <w:spacing w:after="40" w:line="240" w:lineRule="auto"/>
      </w:pPr>
      <w:r>
        <w:rPr>
          <w:b/>
          <w:sz w:val="19"/>
        </w:rPr>
        <w:t xml:space="preserve">Référence </w:t>
      </w:r>
      <w:r>
        <w:rPr>
          <w:sz w:val="19"/>
        </w:rPr>
        <w:t>Guide global, chapitre 4</w:t>
      </w:r>
    </w:p>
    <w:p>
      <w:pPr>
        <w:spacing w:after="40" w:line="240" w:lineRule="auto"/>
      </w:pPr>
      <w:r>
        <w:rPr>
          <w:b/>
          <w:sz w:val="19"/>
        </w:rPr>
        <w:t xml:space="preserve">Objectif </w:t>
      </w:r>
      <w:r>
        <w:rPr>
          <w:sz w:val="19"/>
        </w:rPr>
        <w:t>Utiliser les indicateurs, les alertes et le calendrier pour organiser les actions prioritaires.</w:t>
      </w:r>
    </w:p>
    <w:p>
      <w:pPr>
        <w:spacing w:after="40" w:line="240" w:lineRule="auto"/>
      </w:pPr>
      <w:r>
        <w:rPr>
          <w:b/>
          <w:sz w:val="19"/>
        </w:rPr>
        <w:t xml:space="preserve">Profils concernés </w:t>
      </w:r>
      <w:r>
        <w:rPr>
          <w:sz w:val="19"/>
        </w:rPr>
        <w:t>Tous les utilisateurs selon habilitation</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Observer les indicateurs et leur période de référence.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Appliquer les filtres avant d'interpréter un résultat.</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Ouvrir une alerte et lire sa source, sa priorité et son délai.</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Consulter le dossier source avant d'agir ou de clôturer l'alerte.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Affecter un responsable lorsque le rôle le permet.</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Ouvrir une échéance, la terminer ou l'annuler avec une justification.</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Vérifier les rappels de veille à 180, 90 et 30 jours puis à l'expiration.</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Filtrez les alertes, ouvrez celle indiquée par le formateur et retrouvez l'échéance associée dans le calendrier.</w:t>
      </w:r>
    </w:p>
    <w:p>
      <w:pPr>
        <w:spacing w:after="60"/>
      </w:pPr>
      <w:r>
        <w:rPr>
          <w:b/>
          <w:sz w:val="18"/>
        </w:rPr>
        <w:t xml:space="preserve">Résultat attendu  </w:t>
      </w:r>
      <w:r>
        <w:rPr>
          <w:sz w:val="18"/>
        </w:rPr>
        <w:t>L'alerte est rapprochée de son dossier et aucune échéance n'est clôturée sans trace.</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5  Entreprises organismes zones et certifications</w:t>
      </w:r>
    </w:p>
    <w:p>
      <w:pPr>
        <w:spacing w:after="40" w:line="240" w:lineRule="auto"/>
      </w:pPr>
      <w:r>
        <w:rPr>
          <w:b/>
          <w:sz w:val="19"/>
        </w:rPr>
        <w:t xml:space="preserve">Référence </w:t>
      </w:r>
      <w:r>
        <w:rPr>
          <w:sz w:val="19"/>
        </w:rPr>
        <w:t>Guide global, chapitre 5</w:t>
      </w:r>
    </w:p>
    <w:p>
      <w:pPr>
        <w:spacing w:after="40" w:line="240" w:lineRule="auto"/>
      </w:pPr>
      <w:r>
        <w:rPr>
          <w:b/>
          <w:sz w:val="19"/>
        </w:rPr>
        <w:t xml:space="preserve">Objectif </w:t>
      </w:r>
      <w:r>
        <w:rPr>
          <w:sz w:val="19"/>
        </w:rPr>
        <w:t>Rechercher une donnée existante, éviter les doublons et compléter correctement les registres nationaux.</w:t>
      </w:r>
    </w:p>
    <w:p>
      <w:pPr>
        <w:spacing w:after="40" w:line="240" w:lineRule="auto"/>
      </w:pPr>
      <w:r>
        <w:rPr>
          <w:b/>
          <w:sz w:val="19"/>
        </w:rPr>
        <w:t xml:space="preserve">Profils concernés </w:t>
      </w:r>
      <w:r>
        <w:rPr>
          <w:sz w:val="19"/>
        </w:rPr>
        <w:t>Agents habilités aux registres et à la collecte</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Rechercher l'entreprise par raison sociale, identifiant, RCCM, NIF ou localisation.</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Ouvrir la fiche trouvée ou créer l'entreprise seulement en l'absence de résultat fiable.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Saisir les informations justifiées et associer la zone administrative.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Consulter l'historique après l'enregistrement.</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Depuis l'entreprise, ouvrir ou créer une certification avec son référentiel, son organisme, ses dates et sa portée.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Associer les justificatifs disponibles.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Précréer un organisme absent puis conserver son statut incomplet jusqu'à vérification.</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Recherchez l'entreprise de démonstration, ouvrez sa fiche et identifiez ses certifications. Ne créez rien avant d'avoir vérifié les résultats.</w:t>
      </w:r>
    </w:p>
    <w:p>
      <w:pPr>
        <w:spacing w:after="60"/>
      </w:pPr>
      <w:r>
        <w:rPr>
          <w:b/>
          <w:sz w:val="18"/>
        </w:rPr>
        <w:t xml:space="preserve">Résultat attendu  </w:t>
      </w:r>
      <w:r>
        <w:rPr>
          <w:sz w:val="18"/>
        </w:rPr>
        <w:t>L'utilisateur retrouve ou complète la bonne fiche sans créer de doublon.</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6  Campagnes missions et collecte</w:t>
      </w:r>
    </w:p>
    <w:p>
      <w:pPr>
        <w:spacing w:after="40" w:line="240" w:lineRule="auto"/>
      </w:pPr>
      <w:r>
        <w:rPr>
          <w:b/>
          <w:sz w:val="19"/>
        </w:rPr>
        <w:t xml:space="preserve">Référence </w:t>
      </w:r>
      <w:r>
        <w:rPr>
          <w:sz w:val="19"/>
        </w:rPr>
        <w:t>Guide global, chapitre 6</w:t>
      </w:r>
    </w:p>
    <w:p>
      <w:pPr>
        <w:spacing w:after="40" w:line="240" w:lineRule="auto"/>
      </w:pPr>
      <w:r>
        <w:rPr>
          <w:b/>
          <w:sz w:val="19"/>
        </w:rPr>
        <w:t xml:space="preserve">Objectif </w:t>
      </w:r>
      <w:r>
        <w:rPr>
          <w:sz w:val="19"/>
        </w:rPr>
        <w:t>Créer le cadre d'une collecte, préparer une mission et soumettre une fiche avec ses preuves.</w:t>
      </w:r>
    </w:p>
    <w:p>
      <w:pPr>
        <w:spacing w:after="40" w:line="240" w:lineRule="auto"/>
      </w:pPr>
      <w:r>
        <w:rPr>
          <w:b/>
          <w:sz w:val="19"/>
        </w:rPr>
        <w:t xml:space="preserve">Profils concernés </w:t>
      </w:r>
      <w:r>
        <w:rPr>
          <w:sz w:val="19"/>
        </w:rPr>
        <w:t>Point focal, superviseur, agent de collecte et administrateur habilité</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Dans Campagnes missions et collecte, rechercher une campagne ou utiliser Gérer les campagnes.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Créer ou modifier la campagne, vérifier sa période et conserver son historique.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Cliquer sur Nouvelle mission ou collecte et sélectionner une campagne active.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Renseigner la zone, les dates, la priorité, l'objet et l'agent affecté selon les droits.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Rechercher l'entreprise puis renseigner le déclarant, sa fonction, ses contacts et son consentement.</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Déclarer séparément les offres, les produits et les certifications observées.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Joindre les preuves et vérifier leur présence.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8. Enregistrer le brouillon, effectuer le contrôle final puis soumettre la fiche.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Créez une mission de démonstration et complétez les six étapes : Mission, Entreprise, Offres, Certifications, Preuves et Soumission.</w:t>
      </w:r>
    </w:p>
    <w:p>
      <w:pPr>
        <w:spacing w:after="60"/>
      </w:pPr>
      <w:r>
        <w:rPr>
          <w:b/>
          <w:sz w:val="18"/>
        </w:rPr>
        <w:t xml:space="preserve">Résultat attendu  </w:t>
      </w:r>
      <w:r>
        <w:rPr>
          <w:sz w:val="18"/>
        </w:rPr>
        <w:t>La fiche est complète et cohérente ; la déclaration terrain n'est pas encore présentée comme une certification officielle BNEC.</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7  Vérification documentaire et contrôle FUCCS</w:t>
      </w:r>
    </w:p>
    <w:p>
      <w:pPr>
        <w:spacing w:after="40" w:line="240" w:lineRule="auto"/>
      </w:pPr>
      <w:r>
        <w:rPr>
          <w:b/>
          <w:sz w:val="19"/>
        </w:rPr>
        <w:t xml:space="preserve">Référence </w:t>
      </w:r>
      <w:r>
        <w:rPr>
          <w:sz w:val="19"/>
        </w:rPr>
        <w:t>Guide global, chapitre 7</w:t>
      </w:r>
    </w:p>
    <w:p>
      <w:pPr>
        <w:spacing w:after="40" w:line="240" w:lineRule="auto"/>
      </w:pPr>
      <w:r>
        <w:rPr>
          <w:b/>
          <w:sz w:val="19"/>
        </w:rPr>
        <w:t xml:space="preserve">Objectif </w:t>
      </w:r>
      <w:r>
        <w:rPr>
          <w:sz w:val="19"/>
        </w:rPr>
        <w:t>Contrôler les informations et appliquer la grille FUCCS publiée en conservant les preuves et les constats.</w:t>
      </w:r>
    </w:p>
    <w:p>
      <w:pPr>
        <w:spacing w:after="40" w:line="240" w:lineRule="auto"/>
      </w:pPr>
      <w:r>
        <w:rPr>
          <w:b/>
          <w:sz w:val="19"/>
        </w:rPr>
        <w:t xml:space="preserve">Profils concernés </w:t>
      </w:r>
      <w:r>
        <w:rPr>
          <w:sz w:val="19"/>
        </w:rPr>
        <w:t>Vérificateur et contrôleur FUCCS</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Ouvrir la file des fiches soumises puis le dossier affecté.</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Comparer la fiche aux pièces jointes et aux sources disponibles.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Confirmer les informations cohérentes ou motiver chaque anomalie.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Séparer les points vérifiés, les anomalies, les confirmations externes et la synthèse.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Ouvrir la grille FUCCS publiée et démarrer le contrôle une seule fois.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Renseigner chaque critère, note, constat, commentaire et preuve exigée.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Finaliser lorsque tous les critères requis sont renseignés.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8. Utiliser Réouvrir ou Reprendre pour corriger le même contrôle avec un motif.</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Vérifiez un dossier de démonstration, signalez une anomalie puis complétez les critères FUCCS indiqués par le formateur.</w:t>
      </w:r>
    </w:p>
    <w:p>
      <w:pPr>
        <w:spacing w:after="60"/>
      </w:pPr>
      <w:r>
        <w:rPr>
          <w:b/>
          <w:sz w:val="18"/>
        </w:rPr>
        <w:t xml:space="preserve">Résultat attendu  </w:t>
      </w:r>
      <w:r>
        <w:rPr>
          <w:sz w:val="18"/>
        </w:rPr>
        <w:t>La vérification documentaire et le contrôle FUCCS restent distincts, complets et traçables.</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8  Validation et intégration BNEC</w:t>
      </w:r>
    </w:p>
    <w:p>
      <w:pPr>
        <w:spacing w:after="40" w:line="240" w:lineRule="auto"/>
      </w:pPr>
      <w:r>
        <w:rPr>
          <w:b/>
          <w:sz w:val="19"/>
        </w:rPr>
        <w:t xml:space="preserve">Référence </w:t>
      </w:r>
      <w:r>
        <w:rPr>
          <w:sz w:val="19"/>
        </w:rPr>
        <w:t>Guide global, chapitre 8</w:t>
      </w:r>
    </w:p>
    <w:p>
      <w:pPr>
        <w:spacing w:after="40" w:line="240" w:lineRule="auto"/>
      </w:pPr>
      <w:r>
        <w:rPr>
          <w:b/>
          <w:sz w:val="19"/>
        </w:rPr>
        <w:t xml:space="preserve">Objectif </w:t>
      </w:r>
      <w:r>
        <w:rPr>
          <w:sz w:val="19"/>
        </w:rPr>
        <w:t>Prononcer la décision autorisée et intégrer dans la BNEC uniquement un dossier validé et techniquement prêt.</w:t>
      </w:r>
    </w:p>
    <w:p>
      <w:pPr>
        <w:spacing w:after="40" w:line="240" w:lineRule="auto"/>
      </w:pPr>
      <w:r>
        <w:rPr>
          <w:b/>
          <w:sz w:val="19"/>
        </w:rPr>
        <w:t xml:space="preserve">Profils concernés </w:t>
      </w:r>
      <w:r>
        <w:rPr>
          <w:sz w:val="19"/>
        </w:rPr>
        <w:t>Validateurs N1 et N2, Direction Technique et administrateur BNEC</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Ouvrir le dossier et lire les conclusions, réserves et corrections précédentes.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Contrôler les pièces, constats et résultats du contrôle.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Émettre la décision N1 ou N2 avec un motif clair, ou renvoyer en correction.</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Ouvrir l'espace BNEC seulement après la validation requise.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Vérifier les doublons, la codification, le titulaire, l'organisme, le référentiel et les dates.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Lancer l'intégration puis consulter le post-contrôle.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En cas d'échec, lire l'erreur, corriger la cause et utiliser Nouvelle tentative.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8. Ouvrir la fiche entreprise après intégration pour vérifier les liens et l'historique.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Analysez un dossier prêt à valider, identifiez les contrôles préalables et simulez la décision puis la préparation BNEC.</w:t>
      </w:r>
    </w:p>
    <w:p>
      <w:pPr>
        <w:spacing w:after="60"/>
      </w:pPr>
      <w:r>
        <w:rPr>
          <w:b/>
          <w:sz w:val="18"/>
        </w:rPr>
        <w:t xml:space="preserve">Résultat attendu  </w:t>
      </w:r>
      <w:r>
        <w:rPr>
          <w:sz w:val="18"/>
        </w:rPr>
        <w:t>La décision est motivée et l'intégration ne contourne aucun contrôle obligatoire.</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9  Classification globale de l'entreprise</w:t>
      </w:r>
    </w:p>
    <w:p>
      <w:pPr>
        <w:spacing w:after="40" w:line="240" w:lineRule="auto"/>
      </w:pPr>
      <w:r>
        <w:rPr>
          <w:b/>
          <w:sz w:val="19"/>
        </w:rPr>
        <w:t xml:space="preserve">Référence </w:t>
      </w:r>
      <w:r>
        <w:rPr>
          <w:sz w:val="19"/>
        </w:rPr>
        <w:t>Guide global, chapitre 9, rubrique Évaluer une entreprise</w:t>
      </w:r>
    </w:p>
    <w:p>
      <w:pPr>
        <w:spacing w:after="40" w:line="240" w:lineRule="auto"/>
      </w:pPr>
      <w:r>
        <w:rPr>
          <w:b/>
          <w:sz w:val="19"/>
        </w:rPr>
        <w:t xml:space="preserve">Objectif </w:t>
      </w:r>
      <w:r>
        <w:rPr>
          <w:sz w:val="19"/>
        </w:rPr>
        <w:t>Évaluer la situation globale d'une entreprise avec le modèle publié sans confondre ce résultat avec l'INFC.</w:t>
      </w:r>
    </w:p>
    <w:p>
      <w:pPr>
        <w:spacing w:after="40" w:line="240" w:lineRule="auto"/>
      </w:pPr>
      <w:r>
        <w:rPr>
          <w:b/>
          <w:sz w:val="19"/>
        </w:rPr>
        <w:t xml:space="preserve">Profils concernés </w:t>
      </w:r>
      <w:r>
        <w:rPr>
          <w:sz w:val="19"/>
        </w:rPr>
        <w:t>Utilisateurs disposant du droit de calcul ou de validation</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Ouvrir la liste des entreprises éligibles.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Sélectionner l'entreprise et vérifier le modèle actif.</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Lire les domaines, pondérations, plages de saisie et preuves attendues.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Renseigner uniquement les valeurs justifiées par le dossier.</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Prévisualiser le calcul et vérifier le détail par domaine.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Enregistrer ou valider selon les droits disponibles.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Ouvrir l'historique pour consulter les évaluations précédentes.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Évaluez l'entreprise de démonstration avec les informations fournies et expliquez pourquoi ce résultat ne représente pas une certification particulière.</w:t>
      </w:r>
    </w:p>
    <w:p>
      <w:pPr>
        <w:spacing w:after="60"/>
      </w:pPr>
      <w:r>
        <w:rPr>
          <w:b/>
          <w:sz w:val="18"/>
        </w:rPr>
        <w:t xml:space="preserve">Résultat attendu  </w:t>
      </w:r>
      <w:r>
        <w:rPr>
          <w:sz w:val="18"/>
        </w:rPr>
        <w:t>Le score et la classe proviennent du modèle publié et restent distincts du FUCCS, de l'INFC et du SNCC.</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10  Calcul et validation de l'INFC</w:t>
      </w:r>
    </w:p>
    <w:p>
      <w:pPr>
        <w:spacing w:after="40" w:line="240" w:lineRule="auto"/>
      </w:pPr>
      <w:r>
        <w:rPr>
          <w:b/>
          <w:sz w:val="19"/>
        </w:rPr>
        <w:t xml:space="preserve">Référence </w:t>
      </w:r>
      <w:r>
        <w:rPr>
          <w:sz w:val="19"/>
        </w:rPr>
        <w:t>Guide global, chapitre 9, rubrique Calculer l'INFC</w:t>
      </w:r>
    </w:p>
    <w:p>
      <w:pPr>
        <w:spacing w:after="40" w:line="240" w:lineRule="auto"/>
      </w:pPr>
      <w:r>
        <w:rPr>
          <w:b/>
          <w:sz w:val="19"/>
        </w:rPr>
        <w:t xml:space="preserve">Objectif </w:t>
      </w:r>
      <w:r>
        <w:rPr>
          <w:sz w:val="19"/>
        </w:rPr>
        <w:t>Calculer la fiabilité d'une certification sur 100 à partir des six domaines du modèle publié.</w:t>
      </w:r>
    </w:p>
    <w:p>
      <w:pPr>
        <w:spacing w:after="40" w:line="240" w:lineRule="auto"/>
      </w:pPr>
      <w:r>
        <w:rPr>
          <w:b/>
          <w:sz w:val="19"/>
        </w:rPr>
        <w:t xml:space="preserve">Profils concernés </w:t>
      </w:r>
      <w:r>
        <w:rPr>
          <w:sz w:val="19"/>
        </w:rPr>
        <w:t>Utilisateurs disposant des droits INFC</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Ouvrir la liste des certifications éligibles.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Sélectionner une certification et vérifier le modèle actif.</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Lire les six domaines, leurs pondérations, les plages autorisées et les preuves attendues.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Renseigner les données d'entrée justifiées sans saisir une note globale au hasard.</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Prévisualiser le score, le détail par domaine et le niveau configuré.</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Calculer ou recalculer l'INFC.</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Valider le résultat uniquement si les niveaux institutionnels sont publiés.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8. Consulter l'historique des recalculs.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Calculez l'INFC d'une certification de démonstration et identifiez les domaines qui expliquent le résultat obtenu.</w:t>
      </w:r>
    </w:p>
    <w:p>
      <w:pPr>
        <w:spacing w:after="60"/>
      </w:pPr>
      <w:r>
        <w:rPr>
          <w:b/>
          <w:sz w:val="18"/>
        </w:rPr>
        <w:t xml:space="preserve">Résultat attendu  </w:t>
      </w:r>
      <w:r>
        <w:rPr>
          <w:sz w:val="18"/>
        </w:rPr>
        <w:t>Le score est calculé par le modèle. Si les niveaux ne sont pas paramétrés, le résultat reste calculé mais non validable.</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11  Classement SNCC</w:t>
      </w:r>
    </w:p>
    <w:p>
      <w:pPr>
        <w:spacing w:after="40" w:line="240" w:lineRule="auto"/>
      </w:pPr>
      <w:r>
        <w:rPr>
          <w:b/>
          <w:sz w:val="19"/>
        </w:rPr>
        <w:t xml:space="preserve">Référence </w:t>
      </w:r>
      <w:r>
        <w:rPr>
          <w:sz w:val="19"/>
        </w:rPr>
        <w:t>Guide global, chapitre 9, rubrique Classer au SNCC</w:t>
      </w:r>
    </w:p>
    <w:p>
      <w:pPr>
        <w:spacing w:after="40" w:line="240" w:lineRule="auto"/>
      </w:pPr>
      <w:r>
        <w:rPr>
          <w:b/>
          <w:sz w:val="19"/>
        </w:rPr>
        <w:t xml:space="preserve">Objectif </w:t>
      </w:r>
      <w:r>
        <w:rPr>
          <w:sz w:val="19"/>
        </w:rPr>
        <w:t>Attribuer une classe, un statut administratif et un niveau de risque à une certification éligible.</w:t>
      </w:r>
    </w:p>
    <w:p>
      <w:pPr>
        <w:spacing w:after="40" w:line="240" w:lineRule="auto"/>
      </w:pPr>
      <w:r>
        <w:rPr>
          <w:b/>
          <w:sz w:val="19"/>
        </w:rPr>
        <w:t xml:space="preserve">Profils concernés </w:t>
      </w:r>
      <w:r>
        <w:rPr>
          <w:sz w:val="19"/>
        </w:rPr>
        <w:t>Agents habilités au classement ou au reclassement SNCC</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Ouvrir Classement SNCC et rechercher la certification.</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Vérifier l'existence d'un résultat INFC validé et consulter le dossier source.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Lire la légende et le référentiel SNCC avant toute sélection.</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Cliquer sur Classer ou Reclasser selon la situation.</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Sélectionner séparément la classe A+ à D, le statut administratif et le risque R1 à R5.</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Renseigner la date d'effet et une justification fondée sur le dossier.</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En cas de reclassement, ajouter le motif du changement.</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8. Utiliser Clôturer seulement pour terminer la période courante avec une date et un motif.</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À partir du cas fourni, proposez les trois dimensions du classement et rédigez une justification. Ne calculez aucune note SNCC.</w:t>
      </w:r>
    </w:p>
    <w:p>
      <w:pPr>
        <w:spacing w:after="60"/>
      </w:pPr>
      <w:r>
        <w:rPr>
          <w:b/>
          <w:sz w:val="18"/>
        </w:rPr>
        <w:t xml:space="preserve">Résultat attendu  </w:t>
      </w:r>
      <w:r>
        <w:rPr>
          <w:sz w:val="18"/>
        </w:rPr>
        <w:t>Le participant comprend que le SNCC est une décision administrative justifiée et non une conversion automatique de l'INFC.</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12  Veille relances et décisions</w:t>
      </w:r>
    </w:p>
    <w:p>
      <w:pPr>
        <w:spacing w:after="40" w:line="240" w:lineRule="auto"/>
      </w:pPr>
      <w:r>
        <w:rPr>
          <w:b/>
          <w:sz w:val="19"/>
        </w:rPr>
        <w:t xml:space="preserve">Référence </w:t>
      </w:r>
      <w:r>
        <w:rPr>
          <w:sz w:val="19"/>
        </w:rPr>
        <w:t>Guide global, chapitre 10</w:t>
      </w:r>
    </w:p>
    <w:p>
      <w:pPr>
        <w:spacing w:after="40" w:line="240" w:lineRule="auto"/>
      </w:pPr>
      <w:r>
        <w:rPr>
          <w:b/>
          <w:sz w:val="19"/>
        </w:rPr>
        <w:t xml:space="preserve">Objectif </w:t>
      </w:r>
      <w:r>
        <w:rPr>
          <w:sz w:val="19"/>
        </w:rPr>
        <w:t>Assurer le suivi d'une certification après son intégration et conserver la trace des relances et décisions.</w:t>
      </w:r>
    </w:p>
    <w:p>
      <w:pPr>
        <w:spacing w:after="40" w:line="240" w:lineRule="auto"/>
      </w:pPr>
      <w:r>
        <w:rPr>
          <w:b/>
          <w:sz w:val="19"/>
        </w:rPr>
        <w:t xml:space="preserve">Profils concernés </w:t>
      </w:r>
      <w:r>
        <w:rPr>
          <w:sz w:val="19"/>
        </w:rPr>
        <w:t>Cellule de Veille, Direction Technique et utilisateurs habilités</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Créer ou ouvrir le dossier de veille lié à la certification, l'entreprise, un risque ou une alerte.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Choisir la nature du suivi, la priorité, le responsable et la prochaine action.</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Ajouter les événements, échéances et pièces utiles.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Programmer une relance avec destinataire, canal, message, date d'envoi et délai de réponse.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Vérifier l'adresse avant tout envoi.</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Consulter les relances déjà envoyées avant d'en créer une nouvelle.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Créer une décision avec son contexte, son autorité, sa justification et les actions attendues.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8. Motiver toute clôture de dossier ou d'échéance.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Ouvrez un dossier de veille, programmez une relance de démonstration et préparez une décision associée.</w:t>
      </w:r>
    </w:p>
    <w:p>
      <w:pPr>
        <w:spacing w:after="60"/>
      </w:pPr>
      <w:r>
        <w:rPr>
          <w:b/>
          <w:sz w:val="18"/>
        </w:rPr>
        <w:t xml:space="preserve">Résultat attendu  </w:t>
      </w:r>
      <w:r>
        <w:rPr>
          <w:sz w:val="18"/>
        </w:rPr>
        <w:t>Le suivi comporte un responsable, une prochaine action, une échéance et une trace compréhensible.</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13  Administration règles et publication</w:t>
      </w:r>
    </w:p>
    <w:p>
      <w:pPr>
        <w:spacing w:after="40" w:line="240" w:lineRule="auto"/>
      </w:pPr>
      <w:r>
        <w:rPr>
          <w:b/>
          <w:sz w:val="19"/>
        </w:rPr>
        <w:t xml:space="preserve">Référence </w:t>
      </w:r>
      <w:r>
        <w:rPr>
          <w:sz w:val="19"/>
        </w:rPr>
        <w:t>Guide global, chapitre 11</w:t>
      </w:r>
    </w:p>
    <w:p>
      <w:pPr>
        <w:spacing w:after="40" w:line="240" w:lineRule="auto"/>
      </w:pPr>
      <w:r>
        <w:rPr>
          <w:b/>
          <w:sz w:val="19"/>
        </w:rPr>
        <w:t xml:space="preserve">Objectif </w:t>
      </w:r>
      <w:r>
        <w:rPr>
          <w:sz w:val="19"/>
        </w:rPr>
        <w:t>Administrer les comptes et les référentiels sans modifier arbitrairement les règles utilisées par les autres modules.</w:t>
      </w:r>
    </w:p>
    <w:p>
      <w:pPr>
        <w:spacing w:after="40" w:line="240" w:lineRule="auto"/>
      </w:pPr>
      <w:r>
        <w:rPr>
          <w:b/>
          <w:sz w:val="19"/>
        </w:rPr>
        <w:t xml:space="preserve">Profils concernés </w:t>
      </w:r>
      <w:r>
        <w:rPr>
          <w:sz w:val="19"/>
        </w:rPr>
        <w:t>Administrateurs, Direction Technique et responsables habilités</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Créer un utilisateur avec son identité professionnelle et les droits minimaux nécessaires.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Vérifier le statut du compte et l'impact des rôles cumulatifs.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Rechercher une valeur ou une règle existante avant d'en créer une nouvelle.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Créer une version brouillon avec un code, des descriptions et des conditions précises.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Soumettre ou publier seulement après la validation institutionnelle requise.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Désactiver plutôt que supprimer une valeur déjà utilisée.</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Préparer une publication avec son périmètre, sa confidentialité et son approbateur.</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8. Retirer une publication avec un motif lorsque son maintien n'est plus justifié.</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Repérez un référentiel existant, expliquez son impact et simulez la préparation d'une nouvelle version sans la publier.</w:t>
      </w:r>
    </w:p>
    <w:p>
      <w:pPr>
        <w:spacing w:after="60"/>
      </w:pPr>
      <w:r>
        <w:rPr>
          <w:b/>
          <w:sz w:val="18"/>
        </w:rPr>
        <w:t xml:space="preserve">Résultat attendu  </w:t>
      </w:r>
      <w:r>
        <w:rPr>
          <w:sz w:val="18"/>
        </w:rPr>
        <w:t>L'utilisateur distingue brouillon, publication et désactivation et comprend qu'une règle peut affecter plusieurs modules.</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keepNext/>
      </w:pPr>
      <w:r>
        <w:t>Module 14  Rapports audit et sauvegardes</w:t>
      </w:r>
    </w:p>
    <w:p>
      <w:pPr>
        <w:spacing w:after="40" w:line="240" w:lineRule="auto"/>
      </w:pPr>
      <w:r>
        <w:rPr>
          <w:b/>
          <w:sz w:val="19"/>
        </w:rPr>
        <w:t xml:space="preserve">Référence </w:t>
      </w:r>
      <w:r>
        <w:rPr>
          <w:sz w:val="19"/>
        </w:rPr>
        <w:t>Guide global, chapitre 12</w:t>
      </w:r>
    </w:p>
    <w:p>
      <w:pPr>
        <w:spacing w:after="40" w:line="240" w:lineRule="auto"/>
      </w:pPr>
      <w:r>
        <w:rPr>
          <w:b/>
          <w:sz w:val="19"/>
        </w:rPr>
        <w:t xml:space="preserve">Objectif </w:t>
      </w:r>
      <w:r>
        <w:rPr>
          <w:sz w:val="19"/>
        </w:rPr>
        <w:t>Produire un rapport, retrouver une action dans l'audit et suivre les opérations de sauvegarde autorisées.</w:t>
      </w:r>
    </w:p>
    <w:p>
      <w:pPr>
        <w:spacing w:after="40" w:line="240" w:lineRule="auto"/>
      </w:pPr>
      <w:r>
        <w:rPr>
          <w:b/>
          <w:sz w:val="19"/>
        </w:rPr>
        <w:t xml:space="preserve">Profils concernés </w:t>
      </w:r>
      <w:r>
        <w:rPr>
          <w:sz w:val="19"/>
        </w:rPr>
        <w:t>Utilisateurs habilités selon le module</w:t>
      </w:r>
    </w:p>
    <w:p>
      <w:pPr>
        <w:pStyle w:val="Heading2"/>
        <w:keepNext/>
      </w:pPr>
      <w:r>
        <w:t>Étapes à suivre</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749"/>
        <w:gridCol w:w="6797"/>
        <w:gridCol w:w="2419"/>
      </w:tblGrid>
      <w:tr>
        <w:trPr>
          <w:tblHeader w:val="true"/>
        </w:trPr>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Fait</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Étape</w:t>
            </w:r>
          </w:p>
        </w:tc>
        <w:tc>
          <w:tcPr>
            <w:tcW w:type="dxa" w:w="3485"/>
            <w:vAlign w:val="center"/>
            <w:tcMar>
              <w:top w:w="90" w:type="dxa"/>
              <w:start w:w="90" w:type="dxa"/>
              <w:bottom w:w="90" w:type="dxa"/>
              <w:end w:w="90" w:type="dxa"/>
            </w:tcMar>
            <w:shd w:fill="1F4E78"/>
          </w:tcPr>
          <w:p>
            <w:pPr>
              <w:spacing w:before="0" w:after="0" w:line="240" w:lineRule="auto"/>
              <w:jc w:val="center"/>
            </w:pPr>
            <w:r/>
            <w:r>
              <w:rPr>
                <w:rFonts w:ascii="Aptos" w:hAnsi="Aptos"/>
                <w:b/>
                <w:color w:val="FFFFFF"/>
                <w:sz w:val="17"/>
              </w:rPr>
              <w:t>Observation rapide</w:t>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1. Choisir le modèle de rapport, la période, les filtres et le format.</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2. Contrôler l'en-tête, les tableaux, les dates et le périmètre avant diffusion.</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3. Ouvrir le journal d'audit et filtrer par utilisateur, période, action ou ressource.</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4. Lire les valeurs avant et après lorsqu'elles sont disponibles.</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5. Exporter uniquement les informations nécessaires.</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6. Choisir le type de sauvegarde autorisé et suivre sa progression.</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t>7. Vérifier le résultat, l'empreinte ou le statut final.</w:t>
            </w:r>
          </w:p>
        </w:tc>
        <w:tc>
          <w:tcPr>
            <w:tcW w:type="dxa" w:w="2419"/>
            <w:vAlign w:val="center"/>
            <w:tcMar>
              <w:top w:w="90" w:type="dxa"/>
              <w:start w:w="90" w:type="dxa"/>
              <w:bottom w:w="90" w:type="dxa"/>
              <w:end w:w="90" w:type="dxa"/>
            </w:tcMar>
          </w:tcPr>
          <w:p>
            <w:pPr>
              <w:spacing w:before="0" w:after="0" w:line="240" w:lineRule="auto"/>
              <w:jc w:val="left"/>
            </w:pPr>
            <w:r/>
            <w:r>
              <w:rPr>
                <w:rFonts w:ascii="Aptos" w:hAnsi="Aptos"/>
                <w:b w:val="0"/>
                <w:color w:val="000000"/>
                <w:sz w:val="17"/>
              </w:rPr>
            </w:r>
          </w:p>
        </w:tc>
      </w:tr>
      <w:tr>
        <w:tc>
          <w:tcPr>
            <w:tcW w:type="dxa" w:w="749"/>
            <w:vAlign w:val="center"/>
            <w:tcMar>
              <w:top w:w="90" w:type="dxa"/>
              <w:start w:w="90" w:type="dxa"/>
              <w:bottom w:w="90" w:type="dxa"/>
              <w:end w:w="90" w:type="dxa"/>
            </w:tcMar>
            <w:shd w:fill="F2F6FA"/>
          </w:tcPr>
          <w:p>
            <w:pPr>
              <w:spacing w:before="0" w:after="0" w:line="240" w:lineRule="auto"/>
              <w:jc w:val="center"/>
            </w:pPr>
            <w:r/>
            <w:r>
              <w:rPr>
                <w:rFonts w:ascii="Aptos" w:hAnsi="Aptos"/>
                <w:b w:val="0"/>
                <w:color w:val="000000"/>
                <w:sz w:val="20"/>
              </w:rPr>
              <w:t>☐</w:t>
            </w:r>
          </w:p>
        </w:tc>
        <w:tc>
          <w:tcPr>
            <w:tcW w:type="dxa" w:w="6797"/>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t>8. Ne jamais restaurer en production sans test supervisé dans un environnement isolé.</w:t>
            </w:r>
          </w:p>
        </w:tc>
        <w:tc>
          <w:tcPr>
            <w:tcW w:type="dxa" w:w="2419"/>
            <w:vAlign w:val="center"/>
            <w:tcMar>
              <w:top w:w="90" w:type="dxa"/>
              <w:start w:w="90" w:type="dxa"/>
              <w:bottom w:w="90" w:type="dxa"/>
              <w:end w:w="90" w:type="dxa"/>
            </w:tcMar>
            <w:shd w:fill="F2F6FA"/>
          </w:tcPr>
          <w:p>
            <w:pPr>
              <w:spacing w:before="0" w:after="0" w:line="240" w:lineRule="auto"/>
              <w:jc w:val="left"/>
            </w:pPr>
            <w:r/>
            <w:r>
              <w:rPr>
                <w:rFonts w:ascii="Aptos" w:hAnsi="Aptos"/>
                <w:b w:val="0"/>
                <w:color w:val="000000"/>
                <w:sz w:val="17"/>
              </w:rPr>
            </w:r>
          </w:p>
        </w:tc>
      </w:tr>
    </w:tbl>
    <w:p>
      <w:pPr>
        <w:pStyle w:val="Heading2"/>
        <w:keepNext/>
      </w:pPr>
      <w:r>
        <w:t>Exercice pratique</w:t>
      </w:r>
    </w:p>
    <w:p>
      <w:pPr>
        <w:spacing w:after="40"/>
      </w:pPr>
      <w:r>
        <w:rPr>
          <w:sz w:val="18"/>
        </w:rPr>
        <w:t>Générez un rapport de démonstration, retrouvez une action dans l'audit puis identifiez le dernier statut de sauvegarde.</w:t>
      </w:r>
    </w:p>
    <w:p>
      <w:pPr>
        <w:spacing w:after="60"/>
      </w:pPr>
      <w:r>
        <w:rPr>
          <w:b/>
          <w:sz w:val="18"/>
        </w:rPr>
        <w:t xml:space="preserve">Résultat attendu  </w:t>
      </w:r>
      <w:r>
        <w:rPr>
          <w:sz w:val="18"/>
        </w:rPr>
        <w:t>Le rapport respecte son périmètre, l'audit reste en lecture seule et aucune sauvegarde n'est partagée hors autorisation.</w:t>
      </w:r>
    </w:p>
    <w:p>
      <w:pPr>
        <w:spacing w:before="60" w:after="60"/>
      </w:pPr>
      <w:r>
        <w:rPr>
          <w:b/>
          <w:sz w:val="19"/>
        </w:rPr>
        <w:t xml:space="preserve">Autoévaluation  </w:t>
      </w:r>
      <w:r>
        <w:rPr>
          <w:sz w:val="18"/>
        </w:rPr>
        <w:t>☐ Je peux le faire seul     ☐ Je peux le faire avec le guide     ☐ J'ai besoin d'aide     ☐ Non concerné</w:t>
      </w:r>
    </w:p>
    <w:p>
      <w:pPr>
        <w:spacing w:before="80" w:after="60"/>
      </w:pPr>
      <w:r>
        <w:rPr>
          <w:b/>
          <w:sz w:val="19"/>
        </w:rPr>
        <w:t>Ce que je n'ai pas compris ou que je dois revoir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after="60"/>
      </w:pPr>
      <w:r>
        <w:rPr>
          <w:b/>
          <w:sz w:val="19"/>
        </w:rPr>
        <w:t>Mes questions au formateur</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r>
          </w:p>
        </w:tc>
      </w:tr>
    </w:tbl>
    <w:p>
      <w:pPr>
        <w:spacing w:before="80"/>
      </w:pPr>
      <w:r>
        <w:rPr>
          <w:b/>
          <w:sz w:val="18"/>
        </w:rPr>
        <w:t xml:space="preserve">Validation du module  </w:t>
      </w:r>
      <w:r>
        <w:rPr>
          <w:sz w:val="18"/>
        </w:rPr>
        <w:t>Date : ____________________    Participant : ____________________    Formateur : ____________________</w:t>
      </w:r>
    </w:p>
    <w:p>
      <w:r>
        <w:br w:type="page"/>
      </w:r>
    </w:p>
    <w:p>
      <w:pPr>
        <w:pStyle w:val="Heading1"/>
        <w:jc w:val="center"/>
      </w:pPr>
      <w:r>
        <w:t>Bilan individuel de fin de formation</w:t>
      </w:r>
    </w:p>
    <w:p>
      <w:pPr>
        <w:spacing w:after="160"/>
      </w:pPr>
      <w:r>
        <w:t>Complétez ce bilan après les exercices. Il sert à préparer les reprises, l'assistance après formation et le transfert de compétences.</w:t>
      </w:r>
    </w:p>
    <w:p>
      <w:pPr>
        <w:spacing w:before="80" w:after="60"/>
      </w:pPr>
      <w:r>
        <w:rPr>
          <w:b/>
          <w:sz w:val="19"/>
        </w:rPr>
        <w:t>Les opérations que je peux maintenant réaliser seul</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br/>
              <w:br/>
            </w:r>
          </w:p>
        </w:tc>
      </w:tr>
    </w:tbl>
    <w:p>
      <w:pPr>
        <w:spacing w:before="80" w:after="60"/>
      </w:pPr>
      <w:r>
        <w:rPr>
          <w:b/>
          <w:sz w:val="19"/>
        </w:rPr>
        <w:t>Les opérations pour lesquelles j'ai encore besoin d'accompagnement</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br/>
              <w:br/>
            </w:r>
          </w:p>
        </w:tc>
      </w:tr>
    </w:tbl>
    <w:p>
      <w:pPr>
        <w:spacing w:before="80" w:after="60"/>
      </w:pPr>
      <w:r>
        <w:rPr>
          <w:b/>
          <w:sz w:val="19"/>
        </w:rPr>
        <w:t>Les difficultés techniques ou fonctionnelles rencontrées</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br/>
              <w:br/>
            </w:r>
          </w:p>
        </w:tc>
      </w:tr>
    </w:tbl>
    <w:p>
      <w:pPr>
        <w:spacing w:before="80" w:after="60"/>
      </w:pPr>
      <w:r>
        <w:rPr>
          <w:b/>
          <w:sz w:val="19"/>
        </w:rPr>
        <w:t>Mes recommandations pour améliorer le système ou le guide</w:t>
      </w:r>
    </w:p>
    <w:tbl>
      <w:tblPr>
        <w:tblW w:type="auto" w:w="0"/>
        <w:jc w:val="center"/>
        <w:tblLayout w:type="fixed"/>
        <w:tblLook w:firstColumn="1" w:firstRow="1" w:lastColumn="0" w:lastRow="0" w:noHBand="0" w:noVBand="1" w:val="04A0"/>
        <w:tblBorders>
          <w:top w:val="single" w:sz="5" w:color="BFBFBF" w:space="0"/>
          <w:left w:val="single" w:sz="5" w:color="BFBFBF" w:space="0"/>
          <w:bottom w:val="single" w:sz="5" w:color="BFBFBF" w:space="0"/>
          <w:right w:val="single" w:sz="5" w:color="BFBFBF" w:space="0"/>
          <w:insideH w:val="single" w:sz="5" w:color="BFBFBF" w:space="0"/>
          <w:insideV w:val="single" w:sz="5" w:color="BFBFBF" w:space="0"/>
        </w:tblBorders>
      </w:tblPr>
      <w:tblGrid>
        <w:gridCol w:w="10080"/>
      </w:tblGrid>
      <w:tr>
        <w:tc>
          <w:tcPr>
            <w:tcW w:type="dxa" w:w="10454"/>
            <w:vAlign w:val="center"/>
            <w:tcMar>
              <w:top w:w="110" w:type="dxa"/>
              <w:start w:w="110" w:type="dxa"/>
              <w:bottom w:w="110" w:type="dxa"/>
              <w:end w:w="110" w:type="dxa"/>
            </w:tcMar>
          </w:tcPr>
          <w:p>
            <w:pPr>
              <w:spacing w:before="0" w:after="0" w:line="240" w:lineRule="auto"/>
              <w:jc w:val="left"/>
            </w:pPr>
            <w:r/>
            <w:r>
              <w:rPr>
                <w:rFonts w:ascii="Aptos" w:hAnsi="Aptos"/>
                <w:b w:val="0"/>
                <w:color w:val="000000"/>
                <w:sz w:val="18"/>
              </w:rPr>
              <w:br/>
              <w:br/>
              <w:br/>
              <w:br/>
            </w:r>
          </w:p>
        </w:tc>
      </w:tr>
    </w:tbl>
    <w:p>
      <w:pPr>
        <w:spacing w:before="160"/>
      </w:pPr>
      <w:r>
        <w:rPr>
          <w:b/>
          <w:sz w:val="20"/>
        </w:rPr>
        <w:t xml:space="preserve">Appréciation générale  </w:t>
      </w:r>
      <w:r>
        <w:rPr>
          <w:sz w:val="20"/>
        </w:rPr>
        <w:t>☐ Très satisfaisante     ☐ Satisfaisante     ☐ À améliorer     ☐ Insuffisante</w:t>
      </w:r>
    </w:p>
    <w:p>
      <w:pPr>
        <w:spacing w:before="240"/>
      </w:pPr>
      <w:r>
        <w:rPr>
          <w:sz w:val="20"/>
        </w:rPr>
        <w:t>Nom et signature du participant : ________________________________    Date : ____________________</w:t>
      </w:r>
    </w:p>
    <w:sectPr w:rsidR="00FC693F" w:rsidRPr="0006063C" w:rsidSect="00034616">
      <w:footerReference w:type="default" r:id="rId9"/>
      <w:pgSz w:w="12240" w:h="15840"/>
      <w:pgMar w:top="749"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sz w:val="16"/>
      </w:rPr>
      <w:t>Carnet individuel de suivi de la formation SNGSC HAUQE</w:t>
    </w:r>
  </w:p>
  <w:p>
    <w:pPr>
      <w:jc w:val="right"/>
    </w:pPr>
    <w:r>
      <w:rPr>
        <w:sz w:val="16"/>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Carnet individuel de suivi de la formation SNGSC HAUQE</dc:title>
  <dc:subject>Support imprimable de formation basé sur le Guide global d'utilisation du SNGSC</dc:subject>
  <dc:creator>HAUQE</dc:creator>
  <cp:keywords/>
  <dc:description>generated by python-docx</dc:description>
  <cp:lastModifiedBy/>
  <cp:revision>1</cp:revision>
  <dcterms:created xsi:type="dcterms:W3CDTF">2013-12-23T23:15:00Z</dcterms:created>
  <dcterms:modified xsi:type="dcterms:W3CDTF">2013-12-23T23:15:00Z</dcterms:modified>
  <cp:category/>
</cp:coreProperties>
</file>