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
        <w:jc w:val="center"/>
      </w:pPr>
      <w:r>
        <w:t>HAUTE AUTORITÉ DE LA QUALITÉ ET DE L'ENVIRONNEMENT (HAUQE)</w:t>
      </w:r>
    </w:p>
    <w:p>
      <w:pPr>
        <w:pStyle w:val="Sous-titre"/>
        <w:jc w:val="center"/>
      </w:pPr>
      <w:r>
        <w:t>PROCÉDURE OPÉRATIONNELLE STANDARD (POS)</w:t>
      </w:r>
    </w:p>
    <w:p>
      <w:pPr>
        <w:pStyle w:val="Sous-titre"/>
        <w:jc w:val="center"/>
      </w:pPr>
      <w:r>
        <w:t>VÉRIFICATION ET VALIDATION DES DONNÉES DE LA BASE NATIONALE DES ENTREPRISES CERTIFIÉES</w:t>
      </w:r>
    </w:p>
    <w:p>
      <w:pPr>
        <w:pStyle w:val="Sous-titre"/>
        <w:jc w:val="center"/>
      </w:pPr>
      <w:r>
        <w:t>Référence : POS/HAUQE/R1.3.5-R1.4.3/04</w:t>
      </w:r>
    </w:p>
    <w:p>
      <w:pPr>
        <w:pStyle w:val="Sous-titre"/>
        <w:jc w:val="center"/>
      </w:pPr>
      <w:r>
        <w:t>Version : 1.0</w:t>
      </w:r>
    </w:p>
    <w:p>
      <w:pPr/>
      <w:r>
        <w:rPr>
          <w:b/>
        </w:rPr>
        <w:t xml:space="preserve">Date d'application : </w:t>
      </w:r>
      <w:r>
        <w:t>Après approbation par la HAUQE</w:t>
      </w:r>
    </w:p>
    <w:p>
      <w:pPr/>
      <w:r>
        <w:rPr>
          <w:b/>
        </w:rPr>
        <w:t xml:space="preserve">Statut : </w:t>
      </w:r>
      <w:r>
        <w:t>Projet de procédure à valider</w:t>
      </w:r>
    </w:p>
    <w:p>
      <w:pPr/>
      <w:r>
        <w:rPr>
          <w:b/>
        </w:rPr>
        <w:t xml:space="preserve">Processus concerné : </w:t>
      </w:r>
      <w:r>
        <w:t>Vérification documentaire, contrôle FUCCS, validation hiérarchisée et préparation de l'intégration dans la BNEC</w:t>
      </w:r>
    </w:p>
    <w:p>
      <w:r>
        <w:br w:type="page"/>
      </w:r>
    </w:p>
    <w:p>
      <w:pPr>
        <w:pStyle w:val="Titre1"/>
        <w:keepNext/>
      </w:pPr>
      <w:r>
        <w:t>TABLE DES MATIÈRES</w:t>
      </w:r>
    </w:p>
    <w:p>
      <w:pPr>
        <w:pStyle w:val="TM1"/>
        <w:spacing w:after="40"/>
      </w:pPr>
      <w:r>
        <w:t>1. OBJET</w:t>
      </w:r>
      <w:r>
        <w:tab/>
        <w:t>3</w:t>
      </w:r>
    </w:p>
    <w:p>
      <w:pPr>
        <w:pStyle w:val="TM1"/>
        <w:spacing w:after="40"/>
      </w:pPr>
      <w:r>
        <w:t>2. CHAMP D'APPLICATION</w:t>
      </w:r>
      <w:r>
        <w:tab/>
        <w:t>3</w:t>
      </w:r>
    </w:p>
    <w:p>
      <w:pPr>
        <w:pStyle w:val="TM1"/>
        <w:spacing w:after="40"/>
      </w:pPr>
      <w:r>
        <w:t>3. RÉFÉRENCES ET DOCUMENTS ASSOCIÉS</w:t>
      </w:r>
      <w:r>
        <w:tab/>
        <w:t>3</w:t>
      </w:r>
    </w:p>
    <w:p>
      <w:pPr>
        <w:pStyle w:val="TM1"/>
        <w:spacing w:after="40"/>
      </w:pPr>
      <w:r>
        <w:t>4. PRINCIPES DIRECTEURS</w:t>
      </w:r>
      <w:r>
        <w:tab/>
        <w:t>4</w:t>
      </w:r>
    </w:p>
    <w:p>
      <w:pPr>
        <w:pStyle w:val="TM1"/>
        <w:spacing w:after="40"/>
      </w:pPr>
      <w:r>
        <w:t>5. DÉFINITIONS</w:t>
      </w:r>
      <w:r>
        <w:tab/>
        <w:t>4</w:t>
      </w:r>
    </w:p>
    <w:p>
      <w:pPr>
        <w:pStyle w:val="TM1"/>
        <w:spacing w:after="40"/>
      </w:pPr>
      <w:r>
        <w:t>6. RESPONSABILITÉS</w:t>
      </w:r>
      <w:r>
        <w:tab/>
        <w:t>5</w:t>
      </w:r>
    </w:p>
    <w:p>
      <w:pPr>
        <w:pStyle w:val="TM1"/>
        <w:spacing w:after="40"/>
      </w:pPr>
      <w:r>
        <w:t>7. CONDITIONS DE RECEVABILITÉ</w:t>
      </w:r>
      <w:r>
        <w:tab/>
        <w:t>6</w:t>
      </w:r>
    </w:p>
    <w:p>
      <w:pPr>
        <w:pStyle w:val="TM1"/>
        <w:spacing w:after="40"/>
      </w:pPr>
      <w:r>
        <w:t>8. DESCRIPTION DE LA PROCÉDURE</w:t>
      </w:r>
      <w:r>
        <w:tab/>
        <w:t>6</w:t>
      </w:r>
    </w:p>
    <w:p>
      <w:pPr>
        <w:pStyle w:val="TM2"/>
        <w:spacing w:after="40"/>
      </w:pPr>
      <w:r>
        <w:t>8.1. Réception et ouverture du dossier</w:t>
      </w:r>
      <w:r>
        <w:tab/>
        <w:t>6</w:t>
      </w:r>
    </w:p>
    <w:p>
      <w:pPr>
        <w:pStyle w:val="TM2"/>
        <w:spacing w:after="40"/>
      </w:pPr>
      <w:r>
        <w:t>8.2. Affectation et indépendance</w:t>
      </w:r>
      <w:r>
        <w:tab/>
        <w:t>6</w:t>
      </w:r>
    </w:p>
    <w:p>
      <w:pPr>
        <w:pStyle w:val="TM2"/>
        <w:spacing w:after="40"/>
      </w:pPr>
      <w:r>
        <w:t>8.3. Contrôle de complétude</w:t>
      </w:r>
      <w:r>
        <w:tab/>
        <w:t>6</w:t>
      </w:r>
    </w:p>
    <w:p>
      <w:pPr>
        <w:pStyle w:val="TM2"/>
        <w:spacing w:after="40"/>
      </w:pPr>
      <w:r>
        <w:t>8.4. Vérification de l'entreprise et des doublons</w:t>
      </w:r>
      <w:r>
        <w:tab/>
        <w:t>7</w:t>
      </w:r>
    </w:p>
    <w:p>
      <w:pPr>
        <w:pStyle w:val="TM2"/>
        <w:spacing w:after="40"/>
      </w:pPr>
      <w:r>
        <w:t>8.5. Vérification de la certification</w:t>
      </w:r>
      <w:r>
        <w:tab/>
        <w:t>8</w:t>
      </w:r>
    </w:p>
    <w:p>
      <w:pPr>
        <w:pStyle w:val="TM2"/>
        <w:spacing w:after="40"/>
      </w:pPr>
      <w:r>
        <w:t>8.6. Vérification de l'organisme et de l'accréditation</w:t>
      </w:r>
      <w:r>
        <w:tab/>
        <w:t>8</w:t>
      </w:r>
    </w:p>
    <w:p>
      <w:pPr>
        <w:pStyle w:val="TM2"/>
        <w:spacing w:after="40"/>
      </w:pPr>
      <w:r>
        <w:t>8.7. Authenticité et confirmations externes</w:t>
      </w:r>
      <w:r>
        <w:tab/>
        <w:t>9</w:t>
      </w:r>
    </w:p>
    <w:p>
      <w:pPr>
        <w:pStyle w:val="TM2"/>
        <w:spacing w:after="40"/>
      </w:pPr>
      <w:r>
        <w:t>8.8. Anomalies, risque et avis technique</w:t>
      </w:r>
      <w:r>
        <w:tab/>
        <w:t>9</w:t>
      </w:r>
    </w:p>
    <w:p>
      <w:pPr>
        <w:pStyle w:val="TM2"/>
        <w:spacing w:after="40"/>
      </w:pPr>
      <w:r>
        <w:t>8.9. Contrôle FUCCS</w:t>
      </w:r>
      <w:r>
        <w:tab/>
        <w:t>10</w:t>
      </w:r>
    </w:p>
    <w:p>
      <w:pPr>
        <w:pStyle w:val="TM2"/>
        <w:spacing w:after="40"/>
      </w:pPr>
      <w:r>
        <w:t>8.10. Validation hiérarchisée</w:t>
      </w:r>
      <w:r>
        <w:tab/>
        <w:t>10</w:t>
      </w:r>
    </w:p>
    <w:p>
      <w:pPr>
        <w:pStyle w:val="TM2"/>
        <w:spacing w:after="40"/>
      </w:pPr>
      <w:r>
        <w:t>8.11. Corrections, resoumission et transfert</w:t>
      </w:r>
      <w:r>
        <w:tab/>
        <w:t>11</w:t>
      </w:r>
    </w:p>
    <w:p>
      <w:pPr>
        <w:pStyle w:val="TM1"/>
        <w:spacing w:after="40"/>
      </w:pPr>
      <w:r>
        <w:t>9. STATUTS, AVIS ET DÉCISIONS</w:t>
      </w:r>
      <w:r>
        <w:tab/>
        <w:t>11</w:t>
      </w:r>
    </w:p>
    <w:p>
      <w:pPr>
        <w:pStyle w:val="TM1"/>
        <w:spacing w:after="40"/>
      </w:pPr>
      <w:r>
        <w:t>10. DÉLAIS DE TRAITEMENT</w:t>
      </w:r>
      <w:r>
        <w:tab/>
        <w:t>12</w:t>
      </w:r>
    </w:p>
    <w:p>
      <w:pPr>
        <w:pStyle w:val="TM1"/>
        <w:spacing w:after="40"/>
      </w:pPr>
      <w:r>
        <w:t>11. TRAÇABILITÉ, VERSIONNEMENT ET CONFIDENTIALITÉ</w:t>
      </w:r>
      <w:r>
        <w:tab/>
        <w:t>12</w:t>
      </w:r>
    </w:p>
    <w:p>
      <w:pPr>
        <w:pStyle w:val="TM1"/>
        <w:spacing w:after="40"/>
      </w:pPr>
      <w:r>
        <w:t>12. ENREGISTREMENTS ET PREUVES</w:t>
      </w:r>
      <w:r>
        <w:tab/>
        <w:t>13</w:t>
      </w:r>
    </w:p>
    <w:p>
      <w:pPr>
        <w:pStyle w:val="TM1"/>
        <w:spacing w:after="40"/>
      </w:pPr>
      <w:r>
        <w:t>13. INDICATEURS DE PERFORMANCE</w:t>
      </w:r>
      <w:r>
        <w:tab/>
        <w:t>13</w:t>
      </w:r>
    </w:p>
    <w:p>
      <w:pPr>
        <w:pStyle w:val="TM1"/>
        <w:spacing w:after="40"/>
      </w:pPr>
      <w:r>
        <w:t>14. MATRICE RACI</w:t>
      </w:r>
      <w:r>
        <w:tab/>
        <w:t>14</w:t>
      </w:r>
    </w:p>
    <w:p>
      <w:pPr>
        <w:pStyle w:val="TM1"/>
        <w:spacing w:after="40"/>
      </w:pPr>
      <w:r>
        <w:t>15. LOGIGRAMME</w:t>
      </w:r>
      <w:r>
        <w:tab/>
        <w:t>15</w:t>
      </w:r>
    </w:p>
    <w:p>
      <w:pPr>
        <w:pStyle w:val="TM1"/>
        <w:spacing w:after="40"/>
      </w:pPr>
      <w:r>
        <w:t>16. DISPOSITIONS FINALES</w:t>
      </w:r>
      <w:r>
        <w:tab/>
        <w:t>15</w:t>
      </w:r>
    </w:p>
    <w:p>
      <w:r>
        <w:br w:type="page"/>
      </w:r>
    </w:p>
    <w:p>
      <w:pPr>
        <w:pStyle w:val="Titre1"/>
        <w:keepNext/>
      </w:pPr>
      <w:r>
        <w:t>1. OBJET</w:t>
      </w:r>
    </w:p>
    <w:p>
      <w:pPr>
        <w:jc w:val="both"/>
      </w:pPr>
      <w:r>
        <w:rPr>
          <w:i w:val="0"/>
        </w:rPr>
        <w:t>La présente procédure définit les modalités de réception, de vérification, de contrôle, de validation, de correction et de transmission des données destinées à la Base Nationale des Entreprises Certifiées (BNEC).</w:t>
      </w:r>
    </w:p>
    <w:p>
      <w:pPr>
        <w:jc w:val="both"/>
      </w:pPr>
      <w:r>
        <w:rPr>
          <w:i w:val="0"/>
        </w:rPr>
        <w:t>Elle vise à garantir que seules des informations suffisamment fiables, complètes, cohérentes, traçables et autorisées deviennent des données officielles de la HAUQE.</w:t>
      </w:r>
    </w:p>
    <w:p>
      <w:pPr>
        <w:jc w:val="both"/>
      </w:pPr>
      <w:r>
        <w:rPr>
          <w:i w:val="0"/>
        </w:rPr>
        <w:t>Elle sépare formellement :</w:t>
      </w:r>
    </w:p>
    <w:p>
      <w:pPr>
        <w:ind w:left="397" w:hanging="255"/>
        <w:jc w:val="both"/>
      </w:pPr>
      <w:r>
        <w:t>-  la collecte et la déclaration des informations ;</w:t>
      </w:r>
    </w:p>
    <w:p>
      <w:pPr>
        <w:ind w:left="397" w:hanging="255"/>
        <w:jc w:val="both"/>
      </w:pPr>
      <w:r>
        <w:t>-  la vérification documentaire et les confirmations externes ;</w:t>
      </w:r>
    </w:p>
    <w:p>
      <w:pPr>
        <w:ind w:left="397" w:hanging="255"/>
        <w:jc w:val="both"/>
      </w:pPr>
      <w:r>
        <w:t>-  le contrôle FUCCS et son score brut ;</w:t>
      </w:r>
    </w:p>
    <w:p>
      <w:pPr>
        <w:ind w:left="397" w:hanging="255"/>
        <w:jc w:val="both"/>
      </w:pPr>
      <w:r>
        <w:t>-  la validation hiérarchisée et la décision institutionnelle ;</w:t>
      </w:r>
    </w:p>
    <w:p>
      <w:pPr>
        <w:ind w:left="397" w:hanging="255"/>
        <w:jc w:val="both"/>
      </w:pPr>
      <w:r>
        <w:t>-  l'intégration technique dans la BNEC ;</w:t>
      </w:r>
    </w:p>
    <w:p>
      <w:pPr>
        <w:ind w:left="397" w:hanging="255"/>
        <w:jc w:val="both"/>
      </w:pPr>
      <w:r>
        <w:t>-  la classification de l'entreprise, l'INFC et le classement SNCC.</w:t>
      </w:r>
    </w:p>
    <w:p>
      <w:pPr>
        <w:pStyle w:val="Titre1"/>
        <w:keepNext/>
      </w:pPr>
      <w:r>
        <w:t>2. CHAMP D'APPLICATION</w:t>
      </w:r>
    </w:p>
    <w:p>
      <w:pPr>
        <w:jc w:val="both"/>
      </w:pPr>
      <w:r>
        <w:rPr>
          <w:i w:val="0"/>
        </w:rPr>
        <w:t>La procédure s'applique à tout dossier soumis à la HAUQE avant son intégration ou sa mise à jour dans la BNEC, notamment aux données relatives :</w:t>
      </w:r>
    </w:p>
    <w:p>
      <w:pPr>
        <w:ind w:left="397" w:hanging="255"/>
        <w:jc w:val="both"/>
      </w:pPr>
      <w:r>
        <w:t>-  aux entreprises, contacts, sites, activités, produits et marchés ;</w:t>
      </w:r>
    </w:p>
    <w:p>
      <w:pPr>
        <w:ind w:left="397" w:hanging="255"/>
        <w:jc w:val="both"/>
      </w:pPr>
      <w:r>
        <w:t>-  aux organismes certificateurs et à leurs accréditations ;</w:t>
      </w:r>
    </w:p>
    <w:p>
      <w:pPr>
        <w:ind w:left="397" w:hanging="255"/>
        <w:jc w:val="both"/>
      </w:pPr>
      <w:r>
        <w:t>-  aux certifications, portées, dates, audits, suspensions, retraits et renouvellements ;</w:t>
      </w:r>
    </w:p>
    <w:p>
      <w:pPr>
        <w:ind w:left="397" w:hanging="255"/>
        <w:jc w:val="both"/>
      </w:pPr>
      <w:r>
        <w:t>-  aux pièces justificatives et confirmations externes ;</w:t>
      </w:r>
    </w:p>
    <w:p>
      <w:pPr>
        <w:ind w:left="397" w:hanging="255"/>
        <w:jc w:val="both"/>
      </w:pPr>
      <w:r>
        <w:t>-  aux fiches de collecte, corrections, contrôles FUCCS et validations ;</w:t>
      </w:r>
    </w:p>
    <w:p>
      <w:pPr>
        <w:ind w:left="397" w:hanging="255"/>
        <w:jc w:val="both"/>
      </w:pPr>
      <w:r>
        <w:t>-  aux dossiers faisant l’objet d’une demande de mise à jour ou d’une alerte.</w:t>
      </w:r>
    </w:p>
    <w:p>
      <w:pPr>
        <w:pStyle w:val="Titre1"/>
        <w:keepNext/>
      </w:pPr>
      <w:r>
        <w:t>3. RÉFÉRENCES ET DOCUMENTS ASSOCIÉS</w:t>
      </w:r>
    </w:p>
    <w:p>
      <w:pPr>
        <w:ind w:left="397" w:hanging="255"/>
        <w:jc w:val="both"/>
      </w:pPr>
      <w:r>
        <w:t>-  Règles métier RM-01 à RM-51 validées par la HAUQE/GFA ;</w:t>
      </w:r>
    </w:p>
    <w:p>
      <w:pPr>
        <w:ind w:left="397" w:hanging="255"/>
        <w:jc w:val="both"/>
      </w:pPr>
      <w:r>
        <w:t>-  Fiche unique de collecte HAUQE/FUCCS/01 ;</w:t>
      </w:r>
    </w:p>
    <w:p>
      <w:pPr>
        <w:ind w:left="397" w:hanging="255"/>
        <w:jc w:val="both"/>
      </w:pPr>
      <w:r>
        <w:t>-  Fiche de contrôle et de suivi des certificats HAUQE/FCC/01 ;</w:t>
      </w:r>
    </w:p>
    <w:p>
      <w:pPr>
        <w:ind w:left="397" w:hanging="255"/>
        <w:jc w:val="both"/>
      </w:pPr>
      <w:r>
        <w:t>-  Procédure de collecte des données des entreprises certifiées ;</w:t>
      </w:r>
    </w:p>
    <w:p>
      <w:pPr>
        <w:ind w:left="397" w:hanging="255"/>
        <w:jc w:val="both"/>
      </w:pPr>
      <w:r>
        <w:t>-  Procédure de mise à jour de la BNEC ;</w:t>
      </w:r>
    </w:p>
    <w:p>
      <w:pPr>
        <w:ind w:left="397" w:hanging="255"/>
        <w:jc w:val="both"/>
      </w:pPr>
      <w:r>
        <w:t>-  Procédure de gestion des alertes et des échéances ;</w:t>
      </w:r>
    </w:p>
    <w:p>
      <w:pPr>
        <w:ind w:left="397" w:hanging="255"/>
        <w:jc w:val="both"/>
      </w:pPr>
      <w:r>
        <w:t>-  Indice National de Fiabilité des Certifications (INFC) ;</w:t>
      </w:r>
    </w:p>
    <w:p>
      <w:pPr>
        <w:ind w:left="397" w:hanging="255"/>
        <w:jc w:val="both"/>
      </w:pPr>
      <w:r>
        <w:t>-  Système National de Classement des Certificats (SNCC) ;</w:t>
      </w:r>
    </w:p>
    <w:p>
      <w:pPr>
        <w:ind w:left="397" w:hanging="255"/>
        <w:jc w:val="both"/>
      </w:pPr>
      <w:r>
        <w:t>-  Modèles MCD, MLD, MPD et dictionnaire de données HAUQE Certif ;</w:t>
      </w:r>
    </w:p>
    <w:p>
      <w:pPr>
        <w:pStyle w:val="Titre1"/>
        <w:keepNext/>
      </w:pPr>
      <w:r>
        <w:t>4. PRINCIPES DIRECTEURS</w:t>
      </w:r>
    </w:p>
    <w:p>
      <w:pPr>
        <w:jc w:val="both"/>
      </w:pPr>
      <w:r>
        <w:rPr>
          <w:b/>
        </w:rPr>
        <w:t xml:space="preserve">Séparation des fonctions : </w:t>
      </w:r>
      <w:r>
        <w:t>La personne qui collecte ne prononce pas seule la validation définitive. La vérification, le contrôle FUCCS, la validation et l'intégration sont des étapes distinctes.</w:t>
      </w:r>
    </w:p>
    <w:p>
      <w:pPr>
        <w:jc w:val="both"/>
      </w:pPr>
      <w:r>
        <w:rPr>
          <w:b/>
        </w:rPr>
        <w:t xml:space="preserve">Preuve avant décision : </w:t>
      </w:r>
      <w:r>
        <w:t>Une déclaration non accompagnée de preuve suffisante ne peut être traitée comme une donnée officielle. Une certification sans justificatif officiel est classée « À vérifier » jusqu'à régularisation (RM-19 et RM-42).</w:t>
      </w:r>
    </w:p>
    <w:p>
      <w:pPr>
        <w:jc w:val="both"/>
      </w:pPr>
      <w:r>
        <w:rPr>
          <w:b/>
        </w:rPr>
        <w:t xml:space="preserve">Traçabilité intégrale : </w:t>
      </w:r>
      <w:r>
        <w:t>Toute consultation, affectation, modification, avis, décision, exportation ou archivage est journalisé avec l'auteur, la date, l'heure, le motif et les valeurs concernées (RM-31).</w:t>
      </w:r>
    </w:p>
    <w:p>
      <w:pPr>
        <w:jc w:val="both"/>
      </w:pPr>
      <w:r>
        <w:rPr>
          <w:b/>
        </w:rPr>
        <w:t xml:space="preserve">Versionnement : </w:t>
      </w:r>
      <w:r>
        <w:t>Toute modification d'une entreprise, d'une certification ou d'un organisme génère une nouvelle version sans effacer la précédente (RM-40, RM-41 et RM-48).</w:t>
      </w:r>
    </w:p>
    <w:p>
      <w:pPr>
        <w:jc w:val="both"/>
      </w:pPr>
      <w:r>
        <w:rPr>
          <w:b/>
        </w:rPr>
        <w:t xml:space="preserve">Absence de suppression définitive : </w:t>
      </w:r>
      <w:r>
        <w:t>Les données sont archivées avec motif et habilitation ; elles ne sont pas supprimées définitivement (RM-32).</w:t>
      </w:r>
    </w:p>
    <w:p>
      <w:pPr>
        <w:jc w:val="both"/>
      </w:pPr>
      <w:r>
        <w:rPr>
          <w:b/>
        </w:rPr>
        <w:t xml:space="preserve">Paramétrage contrôlé : </w:t>
      </w:r>
      <w:r>
        <w:t>Les seuils, délais, listes, pondérations, profils et droits sont versionnés, administrables et audités (RM-51).</w:t>
      </w:r>
    </w:p>
    <w:p>
      <w:pPr>
        <w:jc w:val="both"/>
      </w:pPr>
      <w:r>
        <w:rPr>
          <w:b/>
        </w:rPr>
        <w:t xml:space="preserve">Confidentialité : </w:t>
      </w:r>
      <w:r>
        <w:t>Les données de la BNEC sont des données officielles de la HAUQE. Leur consultation, extraction et diffusion respectent les autorisations définies (RM-29, RM-30, RM-46 et RM-50).</w:t>
      </w:r>
    </w:p>
    <w:p>
      <w:pPr>
        <w:pStyle w:val="Titre1"/>
        <w:keepNext/>
      </w:pPr>
      <w:r>
        <w:t>5. DÉFINITIONS</w:t>
      </w:r>
    </w:p>
    <w:p>
      <w:pPr>
        <w:jc w:val="both"/>
      </w:pPr>
      <w:r>
        <w:rPr>
          <w:b/>
        </w:rPr>
        <w:t xml:space="preserve">Dossier soumis : </w:t>
      </w:r>
      <w:r>
        <w:t>fiche de collecte ou demande de mise à jour ayant satisfait aux conditions minimales de soumission.</w:t>
      </w:r>
    </w:p>
    <w:p>
      <w:pPr>
        <w:jc w:val="both"/>
      </w:pPr>
      <w:r>
        <w:rPr>
          <w:b/>
        </w:rPr>
        <w:t xml:space="preserve">Vérification documentaire : </w:t>
      </w:r>
      <w:r>
        <w:t>examen de la complétude, de la cohérence, de l'authenticité et de la concordance des données et preuves.</w:t>
      </w:r>
    </w:p>
    <w:p>
      <w:pPr>
        <w:jc w:val="both"/>
      </w:pPr>
      <w:r>
        <w:rPr>
          <w:b/>
        </w:rPr>
        <w:t xml:space="preserve">Contrôle FUCCS : </w:t>
      </w:r>
      <w:r>
        <w:t>évaluation approfondie réalisée au moyen de la grille officielle versionnée ; son score brut ne constitue ni l'INFC ni le SNCC.</w:t>
      </w:r>
    </w:p>
    <w:p>
      <w:pPr>
        <w:jc w:val="both"/>
      </w:pPr>
      <w:r>
        <w:rPr>
          <w:b/>
        </w:rPr>
        <w:t xml:space="preserve">Avis technique : </w:t>
      </w:r>
      <w:r>
        <w:t>conclusion du vérificateur après examen des pièces, contrôles et confirmations.</w:t>
      </w:r>
    </w:p>
    <w:p>
      <w:pPr>
        <w:jc w:val="both"/>
      </w:pPr>
      <w:r>
        <w:rPr>
          <w:b/>
        </w:rPr>
        <w:t xml:space="preserve">Validation définitive : </w:t>
      </w:r>
      <w:r>
        <w:t>décision hiérarchisée autorisant ou refusant l'intégration du dossier dans la BNEC.</w:t>
      </w:r>
    </w:p>
    <w:p>
      <w:pPr>
        <w:jc w:val="both"/>
      </w:pPr>
      <w:r>
        <w:rPr>
          <w:b/>
        </w:rPr>
        <w:t xml:space="preserve">Réserve : </w:t>
      </w:r>
      <w:r>
        <w:t>condition ou correction non bloquante, assortie d'une échéance et d'un responsable.</w:t>
      </w:r>
    </w:p>
    <w:p>
      <w:pPr>
        <w:jc w:val="both"/>
      </w:pPr>
      <w:r>
        <w:rPr>
          <w:b/>
        </w:rPr>
        <w:t xml:space="preserve">Anomalie : </w:t>
      </w:r>
      <w:r>
        <w:t>écart, incohérence, absence de preuve, suspicion de doublon ou risque susceptible d'affecter la fiabilité du dossier.</w:t>
      </w:r>
    </w:p>
    <w:p>
      <w:pPr>
        <w:jc w:val="both"/>
      </w:pPr>
      <w:r>
        <w:rPr>
          <w:b/>
        </w:rPr>
        <w:t xml:space="preserve">Confirmation externe : </w:t>
      </w:r>
      <w:r>
        <w:t>demande formelle adressée à une entreprise, un organisme certificateur, un accréditeur ou une autre source autorisée.</w:t>
      </w:r>
    </w:p>
    <w:p>
      <w:pPr>
        <w:pStyle w:val="Titre1"/>
        <w:keepNext/>
        <w:pageBreakBefore/>
      </w:pPr>
      <w:r>
        <w:t>6. RESPONSABILITÉS</w:t>
      </w:r>
    </w:p>
    <w:p>
      <w:pPr>
        <w:pStyle w:val="Titre2"/>
        <w:keepNext/>
      </w:pPr>
      <w:r>
        <w:t>Direction Technique / autorité de validation</w:t>
      </w:r>
    </w:p>
    <w:p>
      <w:pPr>
        <w:ind w:left="397" w:hanging="255"/>
        <w:jc w:val="both"/>
      </w:pPr>
      <w:r>
        <w:t>-  approuve les règles, grilles et paramètres applicables ;</w:t>
      </w:r>
    </w:p>
    <w:p>
      <w:pPr>
        <w:ind w:left="397" w:hanging="255"/>
        <w:jc w:val="both"/>
      </w:pPr>
      <w:r>
        <w:t>-  prononce ou confirme la validation définitive selon le niveau d’habilitation ;</w:t>
      </w:r>
    </w:p>
    <w:p>
      <w:pPr>
        <w:ind w:left="397" w:hanging="255"/>
        <w:jc w:val="both"/>
      </w:pPr>
      <w:r>
        <w:t>-  arbitre les dossiers suspects, rejetés ou à risque élevé ;</w:t>
      </w:r>
    </w:p>
    <w:p>
      <w:pPr>
        <w:ind w:left="397" w:hanging="255"/>
        <w:jc w:val="both"/>
      </w:pPr>
      <w:r>
        <w:t>-  autorise les modifications postérieures à la validation.</w:t>
      </w:r>
    </w:p>
    <w:p>
      <w:pPr>
        <w:pStyle w:val="Titre2"/>
        <w:keepNext/>
      </w:pPr>
      <w:r>
        <w:t>Point focal BNEC / superviseur</w:t>
      </w:r>
    </w:p>
    <w:p>
      <w:pPr>
        <w:ind w:left="397" w:hanging="255"/>
        <w:jc w:val="both"/>
      </w:pPr>
      <w:r>
        <w:t>-  organise la file des dossiers et contrôle leur recevabilité ;</w:t>
      </w:r>
    </w:p>
    <w:p>
      <w:pPr>
        <w:ind w:left="397" w:hanging="255"/>
        <w:jc w:val="both"/>
      </w:pPr>
      <w:r>
        <w:t>-  affecte les dossiers aux vérificateurs et suit les délais ;</w:t>
      </w:r>
    </w:p>
    <w:p>
      <w:pPr>
        <w:ind w:left="397" w:hanging="255"/>
        <w:jc w:val="both"/>
      </w:pPr>
      <w:r>
        <w:t>-  réalise la revue de second niveau et prépare la décision ;</w:t>
      </w:r>
    </w:p>
    <w:p>
      <w:pPr>
        <w:ind w:left="397" w:hanging="255"/>
        <w:jc w:val="both"/>
      </w:pPr>
      <w:r>
        <w:t>-  s’assure que les réserves, corrections et justificatifs sont traités.</w:t>
      </w:r>
    </w:p>
    <w:p>
      <w:pPr>
        <w:pStyle w:val="Titre2"/>
        <w:keepNext/>
      </w:pPr>
      <w:r>
        <w:t>Agent vérificateur</w:t>
      </w:r>
    </w:p>
    <w:p>
      <w:pPr>
        <w:ind w:left="397" w:hanging="255"/>
        <w:jc w:val="both"/>
      </w:pPr>
      <w:r>
        <w:t>-  examine la complétude, les dates, la portée, les pièces et les données d’identité ;</w:t>
      </w:r>
    </w:p>
    <w:p>
      <w:pPr>
        <w:ind w:left="397" w:hanging="255"/>
        <w:jc w:val="both"/>
      </w:pPr>
      <w:r>
        <w:t>-  vérifie les doublons, l’organisme, l’accréditation et la cohérence des informations ;</w:t>
      </w:r>
    </w:p>
    <w:p>
      <w:pPr>
        <w:ind w:left="397" w:hanging="255"/>
        <w:jc w:val="both"/>
      </w:pPr>
      <w:r>
        <w:t>-  sollicite les confirmations externes autorisées ;</w:t>
      </w:r>
    </w:p>
    <w:p>
      <w:pPr>
        <w:ind w:left="397" w:hanging="255"/>
        <w:jc w:val="both"/>
      </w:pPr>
      <w:r>
        <w:t>-  documente les anomalies, le risque et l’avis technique.</w:t>
      </w:r>
    </w:p>
    <w:p>
      <w:pPr>
        <w:pStyle w:val="Titre2"/>
        <w:keepNext/>
      </w:pPr>
      <w:r>
        <w:t>Contrôleur / évaluateur FUCCS</w:t>
      </w:r>
    </w:p>
    <w:p>
      <w:pPr>
        <w:ind w:left="397" w:hanging="255"/>
        <w:jc w:val="both"/>
      </w:pPr>
      <w:r>
        <w:t>-  applique exclusivement la grille FUCCS publiée et en vigueur ;</w:t>
      </w:r>
    </w:p>
    <w:p>
      <w:pPr>
        <w:ind w:left="397" w:hanging="255"/>
        <w:jc w:val="both"/>
      </w:pPr>
      <w:r>
        <w:t>-  enregistre chaque note, commentaire, preuve et constat ;</w:t>
      </w:r>
    </w:p>
    <w:p>
      <w:pPr>
        <w:ind w:left="397" w:hanging="255"/>
        <w:jc w:val="both"/>
      </w:pPr>
      <w:r>
        <w:t>-  calcule le score brut et le taux du contrôle sans les confondre avec l’INFC ;</w:t>
      </w:r>
    </w:p>
    <w:p>
      <w:pPr>
        <w:ind w:left="397" w:hanging="255"/>
        <w:jc w:val="both"/>
      </w:pPr>
      <w:r>
        <w:t>-  propose les actions correctives et le niveau de surveillance.</w:t>
      </w:r>
    </w:p>
    <w:p>
      <w:pPr>
        <w:pStyle w:val="Titre2"/>
        <w:keepNext/>
      </w:pPr>
      <w:r>
        <w:t>Administrateur fonctionnel BNEC</w:t>
      </w:r>
    </w:p>
    <w:p>
      <w:pPr>
        <w:ind w:left="397" w:hanging="255"/>
        <w:jc w:val="both"/>
      </w:pPr>
      <w:r>
        <w:t>-  prépare l’intégration des dossiers formellement validés ;</w:t>
      </w:r>
    </w:p>
    <w:p>
      <w:pPr>
        <w:ind w:left="397" w:hanging="255"/>
        <w:jc w:val="both"/>
      </w:pPr>
      <w:r>
        <w:t>-  attribue les identifiants nationaux conformément à la nomenclature approuvée ;</w:t>
      </w:r>
    </w:p>
    <w:p>
      <w:pPr>
        <w:ind w:left="397" w:hanging="255"/>
        <w:jc w:val="both"/>
      </w:pPr>
      <w:r>
        <w:t>-  effectue le contrôle post-intégration et conserve les preuves ;</w:t>
      </w:r>
    </w:p>
    <w:p>
      <w:pPr>
        <w:ind w:left="397" w:hanging="255"/>
        <w:jc w:val="both"/>
      </w:pPr>
      <w:r>
        <w:t>-  n’altère pas une décision métier sans autorisation.</w:t>
      </w:r>
    </w:p>
    <w:p>
      <w:pPr>
        <w:pStyle w:val="Titre2"/>
        <w:keepNext/>
      </w:pPr>
      <w:r>
        <w:t>Agent de collecte / entreprise</w:t>
      </w:r>
    </w:p>
    <w:p>
      <w:pPr>
        <w:ind w:left="397" w:hanging="255"/>
        <w:jc w:val="both"/>
      </w:pPr>
      <w:r>
        <w:t>-  fournit des informations exactes, les pièces et les réponses demandées ;</w:t>
      </w:r>
    </w:p>
    <w:p>
      <w:pPr>
        <w:ind w:left="397" w:hanging="255"/>
        <w:jc w:val="both"/>
      </w:pPr>
      <w:r>
        <w:t>-  corrige les éléments retournés dans les délais ;</w:t>
      </w:r>
    </w:p>
    <w:p>
      <w:pPr>
        <w:ind w:left="397" w:hanging="255"/>
        <w:jc w:val="both"/>
      </w:pPr>
      <w:r>
        <w:t>-  signale tout changement affectant une certification ou l’identité de l’entreprise.</w:t>
      </w:r>
    </w:p>
    <w:p>
      <w:pPr>
        <w:pStyle w:val="Titre1"/>
        <w:keepNext/>
        <w:pageBreakBefore/>
      </w:pPr>
      <w:r>
        <w:t>7. CONDITIONS DE RECEVABILITÉ</w:t>
      </w:r>
    </w:p>
    <w:p>
      <w:pPr>
        <w:jc w:val="both"/>
      </w:pPr>
      <w:r>
        <w:rPr>
          <w:i w:val="0"/>
        </w:rPr>
        <w:t>Une fiche peut être conservée au statut « Brouillon » même si elle est incomplète. Elle ne peut être soumise qu'après satisfaction des contrôles obligatoires de complétude (RM-35).</w:t>
      </w:r>
    </w:p>
    <w:p>
      <w:pPr>
        <w:jc w:val="both"/>
      </w:pPr>
      <w:r>
        <w:rPr>
          <w:i w:val="0"/>
        </w:rPr>
        <w:t>Les conditions minimales de soumission comprennent :</w:t>
      </w:r>
    </w:p>
    <w:p>
      <w:pPr>
        <w:ind w:left="397" w:hanging="255"/>
        <w:jc w:val="both"/>
      </w:pPr>
      <w:r>
        <w:t>-  nom de l'entreprise ;</w:t>
      </w:r>
    </w:p>
    <w:p>
      <w:pPr>
        <w:ind w:left="397" w:hanging="255"/>
        <w:jc w:val="both"/>
      </w:pPr>
      <w:r>
        <w:t>-  localité et région ;</w:t>
      </w:r>
    </w:p>
    <w:p>
      <w:pPr>
        <w:ind w:left="397" w:hanging="255"/>
        <w:jc w:val="both"/>
      </w:pPr>
      <w:r>
        <w:t>-  contact principal : téléphone ou courriel ;</w:t>
      </w:r>
    </w:p>
    <w:p>
      <w:pPr>
        <w:ind w:left="397" w:hanging="255"/>
        <w:jc w:val="both"/>
      </w:pPr>
      <w:r>
        <w:t>-  identification du déclarant et consentement requis ;</w:t>
      </w:r>
    </w:p>
    <w:p>
      <w:pPr>
        <w:ind w:left="397" w:hanging="255"/>
        <w:jc w:val="both"/>
      </w:pPr>
      <w:r>
        <w:t>-  informations minimales sur chaque certification déclarée ;</w:t>
      </w:r>
    </w:p>
    <w:p>
      <w:pPr>
        <w:ind w:left="397" w:hanging="255"/>
        <w:jc w:val="both"/>
      </w:pPr>
      <w:r>
        <w:t>-  pièces disponibles ou justification explicite de leur absence ;</w:t>
      </w:r>
    </w:p>
    <w:p>
      <w:pPr>
        <w:ind w:left="397" w:hanging="255"/>
        <w:jc w:val="both"/>
      </w:pPr>
      <w:r>
        <w:t>-  absence d’erreur bloquante de format ou de cohérence.</w:t>
      </w:r>
    </w:p>
    <w:p>
      <w:pPr>
        <w:jc w:val="both"/>
      </w:pPr>
      <w:r>
        <w:rPr>
          <w:i/>
        </w:rPr>
        <w:t>Le RCCM demeure l'identifiant juridique principal et doit être unique lorsqu'il existe. Son absence n'interdit pas l'enregistrement d'une entreprise, qui est alors placée « En attente de régularisation » (RM-11 et RM-12).</w:t>
      </w:r>
    </w:p>
    <w:p>
      <w:pPr>
        <w:pStyle w:val="Titre1"/>
        <w:keepNext/>
      </w:pPr>
      <w:r>
        <w:t>8. DESCRIPTION DE LA PROCÉDURE</w:t>
      </w:r>
    </w:p>
    <w:p>
      <w:pPr>
        <w:pStyle w:val="Titre2"/>
        <w:keepNext/>
      </w:pPr>
      <w:r>
        <w:t>8.1. Réception et ouverture du dossier</w:t>
      </w:r>
    </w:p>
    <w:p>
      <w:pPr>
        <w:ind w:left="397" w:hanging="255"/>
        <w:jc w:val="both"/>
      </w:pPr>
      <w:r>
        <w:t>-  Le système horodate la soumission et fige la révision reçue.</w:t>
      </w:r>
    </w:p>
    <w:p>
      <w:pPr>
        <w:ind w:left="397" w:hanging="255"/>
        <w:jc w:val="both"/>
      </w:pPr>
      <w:r>
        <w:t>-  Un numéro de dossier est attribué et un événement de soumission est créé.</w:t>
      </w:r>
    </w:p>
    <w:p>
      <w:pPr>
        <w:ind w:left="397" w:hanging="255"/>
        <w:jc w:val="both"/>
      </w:pPr>
      <w:r>
        <w:t>-  La fiche entre dans la file « À vérifier » ; aucune intégration officielle n’est encore autorisée.</w:t>
      </w:r>
    </w:p>
    <w:p>
      <w:pPr>
        <w:ind w:left="397" w:hanging="255"/>
        <w:jc w:val="both"/>
      </w:pPr>
      <w:r>
        <w:t>-  Les informations provenant du papier sont saisies dans un délai maximal de cinq jours ouvrables après la mission (RM-38).</w:t>
      </w:r>
    </w:p>
    <w:p>
      <w:pPr>
        <w:pStyle w:val="Titre2"/>
        <w:keepNext/>
      </w:pPr>
      <w:r>
        <w:t>8.2. Affectation et indépendance</w:t>
      </w:r>
    </w:p>
    <w:p>
      <w:pPr>
        <w:ind w:left="397" w:hanging="255"/>
        <w:jc w:val="both"/>
      </w:pPr>
      <w:r>
        <w:t>-  Le Point focal affecte le dossier à un vérificateur habilité et fixe une échéance.</w:t>
      </w:r>
    </w:p>
    <w:p>
      <w:pPr>
        <w:ind w:left="397" w:hanging="255"/>
        <w:jc w:val="both"/>
      </w:pPr>
      <w:r>
        <w:t>-  L’affectation, sa date, son auteur, son motif et ses réaffectations sont historisés.</w:t>
      </w:r>
    </w:p>
    <w:p>
      <w:pPr>
        <w:ind w:left="397" w:hanging="255"/>
        <w:jc w:val="both"/>
      </w:pPr>
      <w:r>
        <w:t>-  Tout conflit d’intérêts déclaré entraîne une réaffectation.</w:t>
      </w:r>
    </w:p>
    <w:p>
      <w:pPr>
        <w:ind w:left="397" w:hanging="255"/>
        <w:jc w:val="both"/>
      </w:pPr>
      <w:r>
        <w:t>-  Le vérificateur ne prononce pas seul la validation définitive.</w:t>
      </w:r>
    </w:p>
    <w:p>
      <w:pPr>
        <w:pStyle w:val="Titre2"/>
        <w:keepNext/>
      </w:pPr>
      <w:r>
        <w:t>8.3. Contrôle de complétude</w:t>
      </w:r>
    </w:p>
    <w:p>
      <w:pPr>
        <w:jc w:val="both"/>
      </w:pPr>
      <w:r>
        <w:rPr>
          <w:i w:val="0"/>
        </w:rPr>
        <w:t>Le vérificateur contrôle les champs obligatoires, la présence des pièces et la cohérence élémentaire. Le dossier est retourné pour complément lorsque les lacunes empêchent une analyse fiable.</w:t>
      </w:r>
    </w:p>
    <w:p>
      <w:r>
        <w:br w:type="page"/>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75"/>
        <w:gridCol w:w="3175"/>
        <w:gridCol w:w="3175"/>
      </w:tblGrid>
      <w:tr>
        <w:trPr>
          <w:tblHeader w:val="true"/>
        </w:trPr>
        <w:tc>
          <w:tcPr>
            <w:tcW w:type="dxa" w:w="2381"/>
            <w:shd w:fill="D9EAF7"/>
            <w:tcMar>
              <w:top w:w="70" w:type="dxa"/>
              <w:start w:w="80" w:type="dxa"/>
              <w:bottom w:w="70" w:type="dxa"/>
              <w:end w:w="80" w:type="dxa"/>
            </w:tcMar>
            <w:vAlign w:val="center"/>
          </w:tcPr>
          <w:p>
            <w:pPr>
              <w:jc w:val="center"/>
            </w:pPr>
            <w:r>
              <w:rPr>
                <w:b/>
                <w:sz w:val="18"/>
              </w:rPr>
              <w:t>Point de contrôle</w:t>
            </w:r>
          </w:p>
        </w:tc>
        <w:tc>
          <w:tcPr>
            <w:tcW w:type="dxa" w:w="3402"/>
            <w:shd w:fill="D9EAF7"/>
            <w:tcMar>
              <w:top w:w="70" w:type="dxa"/>
              <w:start w:w="80" w:type="dxa"/>
              <w:bottom w:w="70" w:type="dxa"/>
              <w:end w:w="80" w:type="dxa"/>
            </w:tcMar>
            <w:vAlign w:val="center"/>
          </w:tcPr>
          <w:p>
            <w:pPr>
              <w:jc w:val="center"/>
            </w:pPr>
            <w:r>
              <w:rPr>
                <w:b/>
                <w:sz w:val="18"/>
              </w:rPr>
              <w:t>Résultat attendu</w:t>
            </w:r>
          </w:p>
        </w:tc>
        <w:tc>
          <w:tcPr>
            <w:tcW w:type="dxa" w:w="3515"/>
            <w:shd w:fill="D9EAF7"/>
            <w:tcMar>
              <w:top w:w="70" w:type="dxa"/>
              <w:start w:w="80" w:type="dxa"/>
              <w:bottom w:w="70" w:type="dxa"/>
              <w:end w:w="80" w:type="dxa"/>
            </w:tcMar>
            <w:vAlign w:val="center"/>
          </w:tcPr>
          <w:p>
            <w:pPr>
              <w:jc w:val="center"/>
            </w:pPr>
            <w:r>
              <w:rPr>
                <w:b/>
                <w:sz w:val="18"/>
              </w:rPr>
              <w:t>Traitement en cas d’écart</w:t>
            </w:r>
          </w:p>
        </w:tc>
      </w:tr>
      <w:tr>
        <w:tc>
          <w:tcPr>
            <w:tcW w:type="dxa" w:w="2381"/>
            <w:tcMar>
              <w:top w:w="70" w:type="dxa"/>
              <w:start w:w="80" w:type="dxa"/>
              <w:bottom w:w="70" w:type="dxa"/>
              <w:end w:w="80" w:type="dxa"/>
            </w:tcMar>
            <w:vAlign w:val="center"/>
          </w:tcPr>
          <w:p>
            <w:pPr>
              <w:jc w:val="left"/>
            </w:pPr>
            <w:r>
              <w:rPr>
                <w:sz w:val="18"/>
              </w:rPr>
              <w:t>Identité minimale</w:t>
            </w:r>
          </w:p>
        </w:tc>
        <w:tc>
          <w:tcPr>
            <w:tcW w:type="dxa" w:w="3402"/>
            <w:tcMar>
              <w:top w:w="70" w:type="dxa"/>
              <w:start w:w="80" w:type="dxa"/>
              <w:bottom w:w="70" w:type="dxa"/>
              <w:end w:w="80" w:type="dxa"/>
            </w:tcMar>
            <w:vAlign w:val="center"/>
          </w:tcPr>
          <w:p>
            <w:pPr>
              <w:jc w:val="left"/>
            </w:pPr>
            <w:r>
              <w:rPr>
                <w:sz w:val="18"/>
              </w:rPr>
              <w:t>Nom, localité, région et contact principal valides</w:t>
            </w:r>
          </w:p>
        </w:tc>
        <w:tc>
          <w:tcPr>
            <w:tcW w:type="dxa" w:w="3515"/>
            <w:tcMar>
              <w:top w:w="70" w:type="dxa"/>
              <w:start w:w="80" w:type="dxa"/>
              <w:bottom w:w="70" w:type="dxa"/>
              <w:end w:w="80" w:type="dxa"/>
            </w:tcMar>
            <w:vAlign w:val="center"/>
          </w:tcPr>
          <w:p>
            <w:pPr>
              <w:jc w:val="left"/>
            </w:pPr>
            <w:r>
              <w:rPr>
                <w:sz w:val="18"/>
              </w:rPr>
              <w:t>Retour pour correction si absent ou invalide</w:t>
            </w:r>
          </w:p>
        </w:tc>
      </w:tr>
      <w:tr>
        <w:tc>
          <w:tcPr>
            <w:tcW w:type="dxa" w:w="2381"/>
            <w:tcMar>
              <w:top w:w="70" w:type="dxa"/>
              <w:start w:w="80" w:type="dxa"/>
              <w:bottom w:w="70" w:type="dxa"/>
              <w:end w:w="80" w:type="dxa"/>
            </w:tcMar>
            <w:vAlign w:val="center"/>
            <w:shd w:fill="F9FBFC"/>
          </w:tcPr>
          <w:p>
            <w:pPr>
              <w:jc w:val="left"/>
            </w:pPr>
            <w:r>
              <w:rPr>
                <w:sz w:val="18"/>
              </w:rPr>
              <w:t>Données de certification</w:t>
            </w:r>
          </w:p>
        </w:tc>
        <w:tc>
          <w:tcPr>
            <w:tcW w:type="dxa" w:w="3402"/>
            <w:tcMar>
              <w:top w:w="70" w:type="dxa"/>
              <w:start w:w="80" w:type="dxa"/>
              <w:bottom w:w="70" w:type="dxa"/>
              <w:end w:w="80" w:type="dxa"/>
            </w:tcMar>
            <w:vAlign w:val="center"/>
            <w:shd w:fill="F9FBFC"/>
          </w:tcPr>
          <w:p>
            <w:pPr>
              <w:jc w:val="left"/>
            </w:pPr>
            <w:r>
              <w:rPr>
                <w:sz w:val="18"/>
              </w:rPr>
              <w:t>Référentiel, organisme, numéro, portée et date d’obtention renseignés</w:t>
            </w:r>
          </w:p>
        </w:tc>
        <w:tc>
          <w:tcPr>
            <w:tcW w:type="dxa" w:w="3515"/>
            <w:tcMar>
              <w:top w:w="70" w:type="dxa"/>
              <w:start w:w="80" w:type="dxa"/>
              <w:bottom w:w="70" w:type="dxa"/>
              <w:end w:w="80" w:type="dxa"/>
            </w:tcMar>
            <w:vAlign w:val="center"/>
            <w:shd w:fill="F9FBFC"/>
          </w:tcPr>
          <w:p>
            <w:pPr>
              <w:jc w:val="left"/>
            </w:pPr>
            <w:r>
              <w:rPr>
                <w:sz w:val="18"/>
              </w:rPr>
              <w:t>Retour ou classement « À vérifier » selon la gravité</w:t>
            </w:r>
          </w:p>
        </w:tc>
      </w:tr>
      <w:tr>
        <w:tc>
          <w:tcPr>
            <w:tcW w:type="dxa" w:w="2381"/>
            <w:tcMar>
              <w:top w:w="70" w:type="dxa"/>
              <w:start w:w="80" w:type="dxa"/>
              <w:bottom w:w="70" w:type="dxa"/>
              <w:end w:w="80" w:type="dxa"/>
            </w:tcMar>
            <w:vAlign w:val="center"/>
          </w:tcPr>
          <w:p>
            <w:pPr>
              <w:jc w:val="left"/>
            </w:pPr>
            <w:r>
              <w:rPr>
                <w:sz w:val="18"/>
              </w:rPr>
              <w:t>Pièces justificatives</w:t>
            </w:r>
          </w:p>
        </w:tc>
        <w:tc>
          <w:tcPr>
            <w:tcW w:type="dxa" w:w="3402"/>
            <w:tcMar>
              <w:top w:w="70" w:type="dxa"/>
              <w:start w:w="80" w:type="dxa"/>
              <w:bottom w:w="70" w:type="dxa"/>
              <w:end w:w="80" w:type="dxa"/>
            </w:tcMar>
            <w:vAlign w:val="center"/>
          </w:tcPr>
          <w:p>
            <w:pPr>
              <w:jc w:val="left"/>
            </w:pPr>
            <w:r>
              <w:rPr>
                <w:sz w:val="18"/>
              </w:rPr>
              <w:t>Au moins une preuve officielle ou motif documenté</w:t>
            </w:r>
          </w:p>
        </w:tc>
        <w:tc>
          <w:tcPr>
            <w:tcW w:type="dxa" w:w="3515"/>
            <w:tcMar>
              <w:top w:w="70" w:type="dxa"/>
              <w:start w:w="80" w:type="dxa"/>
              <w:bottom w:w="70" w:type="dxa"/>
              <w:end w:w="80" w:type="dxa"/>
            </w:tcMar>
            <w:vAlign w:val="center"/>
          </w:tcPr>
          <w:p>
            <w:pPr>
              <w:jc w:val="left"/>
            </w:pPr>
            <w:r>
              <w:rPr>
                <w:sz w:val="18"/>
              </w:rPr>
              <w:t>Statut « À vérifier » et demande de régularisation</w:t>
            </w:r>
          </w:p>
        </w:tc>
      </w:tr>
      <w:tr>
        <w:tc>
          <w:tcPr>
            <w:tcW w:type="dxa" w:w="2381"/>
            <w:tcMar>
              <w:top w:w="70" w:type="dxa"/>
              <w:start w:w="80" w:type="dxa"/>
              <w:bottom w:w="70" w:type="dxa"/>
              <w:end w:w="80" w:type="dxa"/>
            </w:tcMar>
            <w:vAlign w:val="center"/>
            <w:shd w:fill="F9FBFC"/>
          </w:tcPr>
          <w:p>
            <w:pPr>
              <w:jc w:val="left"/>
            </w:pPr>
            <w:r>
              <w:rPr>
                <w:sz w:val="18"/>
              </w:rPr>
              <w:t>Consentement et déclarant</w:t>
            </w:r>
          </w:p>
        </w:tc>
        <w:tc>
          <w:tcPr>
            <w:tcW w:type="dxa" w:w="3402"/>
            <w:tcMar>
              <w:top w:w="70" w:type="dxa"/>
              <w:start w:w="80" w:type="dxa"/>
              <w:bottom w:w="70" w:type="dxa"/>
              <w:end w:w="80" w:type="dxa"/>
            </w:tcMar>
            <w:vAlign w:val="center"/>
            <w:shd w:fill="F9FBFC"/>
          </w:tcPr>
          <w:p>
            <w:pPr>
              <w:jc w:val="left"/>
            </w:pPr>
            <w:r>
              <w:rPr>
                <w:sz w:val="18"/>
              </w:rPr>
              <w:t>Informations et validation requises présentes</w:t>
            </w:r>
          </w:p>
        </w:tc>
        <w:tc>
          <w:tcPr>
            <w:tcW w:type="dxa" w:w="3515"/>
            <w:tcMar>
              <w:top w:w="70" w:type="dxa"/>
              <w:start w:w="80" w:type="dxa"/>
              <w:bottom w:w="70" w:type="dxa"/>
              <w:end w:w="80" w:type="dxa"/>
            </w:tcMar>
            <w:vAlign w:val="center"/>
            <w:shd w:fill="F9FBFC"/>
          </w:tcPr>
          <w:p>
            <w:pPr>
              <w:jc w:val="left"/>
            </w:pPr>
            <w:r>
              <w:rPr>
                <w:sz w:val="18"/>
              </w:rPr>
              <w:t>Blocage de la poursuite</w:t>
            </w:r>
          </w:p>
        </w:tc>
      </w:tr>
    </w:tbl>
    <w:p/>
    <w:p>
      <w:pPr>
        <w:pStyle w:val="Titre2"/>
        <w:keepNext/>
      </w:pPr>
      <w:r>
        <w:t>8.4. Vérification de l'entreprise et des doublons</w:t>
      </w:r>
    </w:p>
    <w:p>
      <w:pPr>
        <w:ind w:left="397" w:hanging="255"/>
        <w:jc w:val="both"/>
      </w:pPr>
      <w:r>
        <w:t>-  contrôler l’unicité du RCCM lorsqu’il est renseigné (RM-11) ;</w:t>
      </w:r>
    </w:p>
    <w:p>
      <w:pPr>
        <w:ind w:left="397" w:hanging="255"/>
        <w:jc w:val="both"/>
      </w:pPr>
      <w:r>
        <w:t>-  rapprocher le nom, le sigle, l’IFU/NIF, le téléphone, le courriel et la localisation ;</w:t>
      </w:r>
    </w:p>
    <w:p>
      <w:pPr>
        <w:ind w:left="397" w:hanging="255"/>
        <w:jc w:val="both"/>
      </w:pPr>
      <w:r>
        <w:t>-  détecter les doublons potentiels selon plusieurs critères avant toute validation définitive (RM-36) ;</w:t>
      </w:r>
    </w:p>
    <w:p>
      <w:pPr>
        <w:ind w:left="397" w:hanging="255"/>
        <w:jc w:val="both"/>
      </w:pPr>
      <w:r>
        <w:t>-  vérifier la concordance entre la fiche, les pièces et les référentiels administratifs ;</w:t>
      </w:r>
    </w:p>
    <w:p>
      <w:pPr>
        <w:ind w:left="397" w:hanging="255"/>
        <w:jc w:val="both"/>
      </w:pPr>
      <w:r>
        <w:t>-  maintenir le statut « En attente de régularisation » lorsque le RCCM est absent et que le cas est admissible.</w:t>
      </w:r>
    </w:p>
    <w:p>
      <w:pPr>
        <w:jc w:val="both"/>
      </w:pPr>
      <w:r>
        <w:rPr>
          <w:i w:val="0"/>
        </w:rPr>
        <w:t>Un doublon potentiel ne doit pas être fusionné ou écarté automatiquement. Il fait l’objet d’un examen, d’une décision motivée et d’une trace d’audit.</w:t>
      </w:r>
    </w:p>
    <w:p>
      <w:pPr>
        <w:pStyle w:val="Titre2"/>
        <w:keepNext/>
      </w:pPr>
      <w:r>
        <w:t>8.5. Vérification de la certification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75"/>
        <w:gridCol w:w="3175"/>
        <w:gridCol w:w="3175"/>
      </w:tblGrid>
      <w:tr>
        <w:trPr>
          <w:tblHeader w:val="true"/>
        </w:trPr>
        <w:tc>
          <w:tcPr>
            <w:tcW w:type="dxa" w:w="2268"/>
            <w:shd w:fill="D9EAF7"/>
            <w:tcMar>
              <w:top w:w="70" w:type="dxa"/>
              <w:start w:w="80" w:type="dxa"/>
              <w:bottom w:w="70" w:type="dxa"/>
              <w:end w:w="80" w:type="dxa"/>
            </w:tcMar>
            <w:vAlign w:val="center"/>
          </w:tcPr>
          <w:p>
            <w:pPr>
              <w:jc w:val="center"/>
            </w:pPr>
            <w:r>
              <w:rPr>
                <w:b/>
                <w:sz w:val="17"/>
              </w:rPr>
              <w:t>Contrôle</w:t>
            </w:r>
          </w:p>
        </w:tc>
        <w:tc>
          <w:tcPr>
            <w:tcW w:type="dxa" w:w="3402"/>
            <w:shd w:fill="D9EAF7"/>
            <w:tcMar>
              <w:top w:w="70" w:type="dxa"/>
              <w:start w:w="80" w:type="dxa"/>
              <w:bottom w:w="70" w:type="dxa"/>
              <w:end w:w="80" w:type="dxa"/>
            </w:tcMar>
            <w:vAlign w:val="center"/>
          </w:tcPr>
          <w:p>
            <w:pPr>
              <w:jc w:val="center"/>
            </w:pPr>
            <w:r>
              <w:rPr>
                <w:b/>
                <w:sz w:val="17"/>
              </w:rPr>
              <w:t>Règle applicable</w:t>
            </w:r>
          </w:p>
        </w:tc>
        <w:tc>
          <w:tcPr>
            <w:tcW w:type="dxa" w:w="3628"/>
            <w:shd w:fill="D9EAF7"/>
            <w:tcMar>
              <w:top w:w="70" w:type="dxa"/>
              <w:start w:w="80" w:type="dxa"/>
              <w:bottom w:w="70" w:type="dxa"/>
              <w:end w:w="80" w:type="dxa"/>
            </w:tcMar>
            <w:vAlign w:val="center"/>
          </w:tcPr>
          <w:p>
            <w:pPr>
              <w:jc w:val="center"/>
            </w:pPr>
            <w:r>
              <w:rPr>
                <w:b/>
                <w:sz w:val="17"/>
              </w:rPr>
              <w:t>Conclusion attendue</w:t>
            </w:r>
          </w:p>
        </w:tc>
      </w:tr>
      <w:tr>
        <w:tc>
          <w:tcPr>
            <w:tcW w:type="dxa" w:w="2268"/>
            <w:tcMar>
              <w:top w:w="70" w:type="dxa"/>
              <w:start w:w="80" w:type="dxa"/>
              <w:bottom w:w="70" w:type="dxa"/>
              <w:end w:w="80" w:type="dxa"/>
            </w:tcMar>
            <w:vAlign w:val="center"/>
          </w:tcPr>
          <w:p>
            <w:pPr>
              <w:jc w:val="left"/>
            </w:pPr>
            <w:r>
              <w:rPr>
                <w:sz w:val="17"/>
              </w:rPr>
              <w:t>Date d’obtention</w:t>
            </w:r>
          </w:p>
        </w:tc>
        <w:tc>
          <w:tcPr>
            <w:tcW w:type="dxa" w:w="3402"/>
            <w:tcMar>
              <w:top w:w="70" w:type="dxa"/>
              <w:start w:w="80" w:type="dxa"/>
              <w:bottom w:w="70" w:type="dxa"/>
              <w:end w:w="80" w:type="dxa"/>
            </w:tcMar>
            <w:vAlign w:val="center"/>
          </w:tcPr>
          <w:p>
            <w:pPr>
              <w:jc w:val="left"/>
            </w:pPr>
            <w:r>
              <w:rPr>
                <w:sz w:val="17"/>
              </w:rPr>
              <w:t>Ne peut être postérieure à la date du jour ou de saisie</w:t>
            </w:r>
          </w:p>
        </w:tc>
        <w:tc>
          <w:tcPr>
            <w:tcW w:type="dxa" w:w="3628"/>
            <w:tcMar>
              <w:top w:w="70" w:type="dxa"/>
              <w:start w:w="80" w:type="dxa"/>
              <w:bottom w:w="70" w:type="dxa"/>
              <w:end w:w="80" w:type="dxa"/>
            </w:tcMar>
            <w:vAlign w:val="center"/>
          </w:tcPr>
          <w:p>
            <w:pPr>
              <w:jc w:val="left"/>
            </w:pPr>
            <w:r>
              <w:rPr>
                <w:sz w:val="17"/>
              </w:rPr>
              <w:t>Incohérence bloquante jusqu’à correction (RM-03)</w:t>
            </w:r>
          </w:p>
        </w:tc>
      </w:tr>
      <w:tr>
        <w:tc>
          <w:tcPr>
            <w:tcW w:type="dxa" w:w="2268"/>
            <w:tcMar>
              <w:top w:w="70" w:type="dxa"/>
              <w:start w:w="80" w:type="dxa"/>
              <w:bottom w:w="70" w:type="dxa"/>
              <w:end w:w="80" w:type="dxa"/>
            </w:tcMar>
            <w:vAlign w:val="center"/>
            <w:shd w:fill="F9FBFC"/>
          </w:tcPr>
          <w:p>
            <w:pPr>
              <w:jc w:val="left"/>
            </w:pPr>
            <w:r>
              <w:rPr>
                <w:sz w:val="17"/>
              </w:rPr>
              <w:t>Date d’expiration</w:t>
            </w:r>
          </w:p>
        </w:tc>
        <w:tc>
          <w:tcPr>
            <w:tcW w:type="dxa" w:w="3402"/>
            <w:tcMar>
              <w:top w:w="70" w:type="dxa"/>
              <w:start w:w="80" w:type="dxa"/>
              <w:bottom w:w="70" w:type="dxa"/>
              <w:end w:w="80" w:type="dxa"/>
            </w:tcMar>
            <w:vAlign w:val="center"/>
            <w:shd w:fill="F9FBFC"/>
          </w:tcPr>
          <w:p>
            <w:pPr>
              <w:jc w:val="left"/>
            </w:pPr>
            <w:r>
              <w:rPr>
                <w:sz w:val="17"/>
              </w:rPr>
              <w:t>Postérieure à la date d’obtention</w:t>
            </w:r>
          </w:p>
        </w:tc>
        <w:tc>
          <w:tcPr>
            <w:tcW w:type="dxa" w:w="3628"/>
            <w:tcMar>
              <w:top w:w="70" w:type="dxa"/>
              <w:start w:w="80" w:type="dxa"/>
              <w:bottom w:w="70" w:type="dxa"/>
              <w:end w:w="80" w:type="dxa"/>
            </w:tcMar>
            <w:vAlign w:val="center"/>
            <w:shd w:fill="F9FBFC"/>
          </w:tcPr>
          <w:p>
            <w:pPr>
              <w:jc w:val="left"/>
            </w:pPr>
            <w:r>
              <w:rPr>
                <w:sz w:val="17"/>
              </w:rPr>
              <w:t>Refus de l’enregistrement incohérent (RM-04)</w:t>
            </w:r>
          </w:p>
        </w:tc>
      </w:tr>
      <w:tr>
        <w:tc>
          <w:tcPr>
            <w:tcW w:type="dxa" w:w="2268"/>
            <w:tcMar>
              <w:top w:w="70" w:type="dxa"/>
              <w:start w:w="80" w:type="dxa"/>
              <w:bottom w:w="70" w:type="dxa"/>
              <w:end w:w="80" w:type="dxa"/>
            </w:tcMar>
            <w:vAlign w:val="center"/>
          </w:tcPr>
          <w:p>
            <w:pPr>
              <w:jc w:val="left"/>
            </w:pPr>
            <w:r>
              <w:rPr>
                <w:sz w:val="17"/>
              </w:rPr>
              <w:t>Absence d’expiration</w:t>
            </w:r>
          </w:p>
        </w:tc>
        <w:tc>
          <w:tcPr>
            <w:tcW w:type="dxa" w:w="3402"/>
            <w:tcMar>
              <w:top w:w="70" w:type="dxa"/>
              <w:start w:w="80" w:type="dxa"/>
              <w:bottom w:w="70" w:type="dxa"/>
              <w:end w:w="80" w:type="dxa"/>
            </w:tcMar>
            <w:vAlign w:val="center"/>
          </w:tcPr>
          <w:p>
            <w:pPr>
              <w:jc w:val="left"/>
            </w:pPr>
            <w:r>
              <w:rPr>
                <w:sz w:val="17"/>
              </w:rPr>
              <w:t>Admise uniquement si le référentiel le prévoit</w:t>
            </w:r>
          </w:p>
        </w:tc>
        <w:tc>
          <w:tcPr>
            <w:tcW w:type="dxa" w:w="3628"/>
            <w:tcMar>
              <w:top w:w="70" w:type="dxa"/>
              <w:start w:w="80" w:type="dxa"/>
              <w:bottom w:w="70" w:type="dxa"/>
              <w:end w:w="80" w:type="dxa"/>
            </w:tcMar>
            <w:vAlign w:val="center"/>
          </w:tcPr>
          <w:p>
            <w:pPr>
              <w:jc w:val="left"/>
            </w:pPr>
            <w:r>
              <w:rPr>
                <w:sz w:val="17"/>
              </w:rPr>
              <w:t>Sinon statut « À vérifier » (RM-01)</w:t>
            </w:r>
          </w:p>
        </w:tc>
      </w:tr>
      <w:tr>
        <w:tc>
          <w:tcPr>
            <w:tcW w:type="dxa" w:w="2268"/>
            <w:tcMar>
              <w:top w:w="70" w:type="dxa"/>
              <w:start w:w="80" w:type="dxa"/>
              <w:bottom w:w="70" w:type="dxa"/>
              <w:end w:w="80" w:type="dxa"/>
            </w:tcMar>
            <w:vAlign w:val="center"/>
            <w:shd w:fill="F9FBFC"/>
          </w:tcPr>
          <w:p>
            <w:pPr>
              <w:jc w:val="left"/>
            </w:pPr>
            <w:r>
              <w:rPr>
                <w:sz w:val="17"/>
              </w:rPr>
              <w:t>Renouvellement en cours</w:t>
            </w:r>
          </w:p>
        </w:tc>
        <w:tc>
          <w:tcPr>
            <w:tcW w:type="dxa" w:w="3402"/>
            <w:tcMar>
              <w:top w:w="70" w:type="dxa"/>
              <w:start w:w="80" w:type="dxa"/>
              <w:bottom w:w="70" w:type="dxa"/>
              <w:end w:w="80" w:type="dxa"/>
            </w:tcMar>
            <w:vAlign w:val="center"/>
            <w:shd w:fill="F9FBFC"/>
          </w:tcPr>
          <w:p>
            <w:pPr>
              <w:jc w:val="left"/>
            </w:pPr>
            <w:r>
              <w:rPr>
                <w:sz w:val="17"/>
              </w:rPr>
              <w:t>Preuve officielle exigée</w:t>
            </w:r>
          </w:p>
        </w:tc>
        <w:tc>
          <w:tcPr>
            <w:tcW w:type="dxa" w:w="3628"/>
            <w:tcMar>
              <w:top w:w="70" w:type="dxa"/>
              <w:start w:w="80" w:type="dxa"/>
              <w:bottom w:w="70" w:type="dxa"/>
              <w:end w:w="80" w:type="dxa"/>
            </w:tcMar>
            <w:vAlign w:val="center"/>
            <w:shd w:fill="F9FBFC"/>
          </w:tcPr>
          <w:p>
            <w:pPr>
              <w:jc w:val="left"/>
            </w:pPr>
            <w:r>
              <w:rPr>
                <w:sz w:val="17"/>
              </w:rPr>
              <w:t>Maintien transitoire seulement avec justificatif (RM-09 et RM-21)</w:t>
            </w:r>
          </w:p>
        </w:tc>
      </w:tr>
      <w:tr>
        <w:tc>
          <w:tcPr>
            <w:tcW w:type="dxa" w:w="2268"/>
            <w:tcMar>
              <w:top w:w="70" w:type="dxa"/>
              <w:start w:w="80" w:type="dxa"/>
              <w:bottom w:w="70" w:type="dxa"/>
              <w:end w:w="80" w:type="dxa"/>
            </w:tcMar>
            <w:vAlign w:val="center"/>
          </w:tcPr>
          <w:p>
            <w:pPr>
              <w:jc w:val="left"/>
            </w:pPr>
            <w:r>
              <w:rPr>
                <w:sz w:val="17"/>
              </w:rPr>
              <w:t>Unicité</w:t>
            </w:r>
          </w:p>
        </w:tc>
        <w:tc>
          <w:tcPr>
            <w:tcW w:type="dxa" w:w="3402"/>
            <w:tcMar>
              <w:top w:w="70" w:type="dxa"/>
              <w:start w:w="80" w:type="dxa"/>
              <w:bottom w:w="70" w:type="dxa"/>
              <w:end w:w="80" w:type="dxa"/>
            </w:tcMar>
            <w:vAlign w:val="center"/>
          </w:tcPr>
          <w:p>
            <w:pPr>
              <w:jc w:val="left"/>
            </w:pPr>
            <w:r>
              <w:rPr>
                <w:sz w:val="17"/>
              </w:rPr>
              <w:t>Entreprise + organisme + référentiel + périmètre</w:t>
            </w:r>
          </w:p>
        </w:tc>
        <w:tc>
          <w:tcPr>
            <w:tcW w:type="dxa" w:w="3628"/>
            <w:tcMar>
              <w:top w:w="70" w:type="dxa"/>
              <w:start w:w="80" w:type="dxa"/>
              <w:bottom w:w="70" w:type="dxa"/>
              <w:end w:w="80" w:type="dxa"/>
            </w:tcMar>
            <w:vAlign w:val="center"/>
          </w:tcPr>
          <w:p>
            <w:pPr>
              <w:jc w:val="left"/>
            </w:pPr>
            <w:r>
              <w:rPr>
                <w:sz w:val="17"/>
              </w:rPr>
              <w:t>Blocage du doublon actif (RM-10)</w:t>
            </w:r>
          </w:p>
        </w:tc>
      </w:tr>
      <w:tr>
        <w:tc>
          <w:tcPr>
            <w:tcW w:type="dxa" w:w="2268"/>
            <w:tcMar>
              <w:top w:w="70" w:type="dxa"/>
              <w:start w:w="80" w:type="dxa"/>
              <w:bottom w:w="70" w:type="dxa"/>
              <w:end w:w="80" w:type="dxa"/>
            </w:tcMar>
            <w:vAlign w:val="center"/>
            <w:shd w:fill="F9FBFC"/>
          </w:tcPr>
          <w:p>
            <w:pPr>
              <w:jc w:val="left"/>
            </w:pPr>
            <w:r>
              <w:rPr>
                <w:sz w:val="17"/>
              </w:rPr>
              <w:t>Pièce officielle</w:t>
            </w:r>
          </w:p>
        </w:tc>
        <w:tc>
          <w:tcPr>
            <w:tcW w:type="dxa" w:w="3402"/>
            <w:tcMar>
              <w:top w:w="70" w:type="dxa"/>
              <w:start w:w="80" w:type="dxa"/>
              <w:bottom w:w="70" w:type="dxa"/>
              <w:end w:w="80" w:type="dxa"/>
            </w:tcMar>
            <w:vAlign w:val="center"/>
            <w:shd w:fill="F9FBFC"/>
          </w:tcPr>
          <w:p>
            <w:pPr>
              <w:jc w:val="left"/>
            </w:pPr>
            <w:r>
              <w:rPr>
                <w:sz w:val="17"/>
              </w:rPr>
              <w:t>Certificat, décision, rapport d’audit ou équivalent</w:t>
            </w:r>
          </w:p>
        </w:tc>
        <w:tc>
          <w:tcPr>
            <w:tcW w:type="dxa" w:w="3628"/>
            <w:tcMar>
              <w:top w:w="70" w:type="dxa"/>
              <w:start w:w="80" w:type="dxa"/>
              <w:bottom w:w="70" w:type="dxa"/>
              <w:end w:w="80" w:type="dxa"/>
            </w:tcMar>
            <w:vAlign w:val="center"/>
            <w:shd w:fill="F9FBFC"/>
          </w:tcPr>
          <w:p>
            <w:pPr>
              <w:jc w:val="left"/>
            </w:pPr>
            <w:r>
              <w:rPr>
                <w:sz w:val="17"/>
              </w:rPr>
              <w:t>À défaut, statut « À vérifier » (RM-19/RM-42)</w:t>
            </w:r>
          </w:p>
        </w:tc>
      </w:tr>
    </w:tbl>
    <w:p/>
    <w:p>
      <w:pPr>
        <w:pStyle w:val="Titre2"/>
        <w:keepNext/>
      </w:pPr>
      <w:r>
        <w:t>8.6. Vérification de l'organisme et de l'accréditation</w:t>
      </w:r>
    </w:p>
    <w:p>
      <w:pPr>
        <w:ind w:left="397" w:hanging="255"/>
        <w:jc w:val="both"/>
      </w:pPr>
      <w:r>
        <w:t>-  identifier l’organisme par son nom officiel, son pays, son numéro d’enregistrement et ses coordonnées ;</w:t>
      </w:r>
    </w:p>
    <w:p>
      <w:pPr>
        <w:ind w:left="397" w:hanging="255"/>
        <w:jc w:val="both"/>
      </w:pPr>
      <w:r>
        <w:t>-  contrôler les doublons d’organismes avant création (RM-45) ;</w:t>
      </w:r>
    </w:p>
    <w:p>
      <w:pPr>
        <w:ind w:left="397" w:hanging="255"/>
        <w:jc w:val="both"/>
      </w:pPr>
      <w:r>
        <w:t>-  vérifier l’accréditation par référentiel, domaine, périmètre et période de validité (RM-26) ;</w:t>
      </w:r>
    </w:p>
    <w:p>
      <w:pPr>
        <w:ind w:left="397" w:hanging="255"/>
        <w:jc w:val="both"/>
      </w:pPr>
      <w:r>
        <w:t>-  conserver un organisme non accrédité dans le registre, mais placer ses certifications « À vérifier » (RM-25) ;</w:t>
      </w:r>
    </w:p>
    <w:p>
      <w:pPr>
        <w:ind w:left="397" w:hanging="255"/>
        <w:jc w:val="both"/>
      </w:pPr>
      <w:r>
        <w:t>-  reclasser « Sous vérification » les certifications délivrées par un organisme suspendu, retiré ou ayant perdu son accréditation, jusqu’à décision de la HAUQE (RM-27).</w:t>
      </w:r>
    </w:p>
    <w:p>
      <w:pPr>
        <w:pStyle w:val="Titre2"/>
        <w:keepNext/>
        <w:pageBreakBefore/>
      </w:pPr>
      <w:r>
        <w:t>8.7. Authenticité et confirmations externes</w:t>
      </w:r>
    </w:p>
    <w:p>
      <w:pPr>
        <w:jc w:val="both"/>
      </w:pPr>
      <w:r>
        <w:rPr>
          <w:i w:val="0"/>
        </w:rPr>
        <w:t>La vérification documentaire utilise la fiche HAUQE/FCC/01 et porte notamment sur :</w:t>
      </w:r>
    </w:p>
    <w:p>
      <w:pPr>
        <w:ind w:left="397" w:hanging="255"/>
        <w:jc w:val="both"/>
      </w:pPr>
      <w:r>
        <w:t>-  la lisibilité du numéro, des dates, de la portée et des produits couverts ;</w:t>
      </w:r>
    </w:p>
    <w:p>
      <w:pPr>
        <w:ind w:left="397" w:hanging="255"/>
        <w:jc w:val="both"/>
      </w:pPr>
      <w:r>
        <w:t>-  la présence des signatures, cachets, logos et éléments d’identification ;</w:t>
      </w:r>
    </w:p>
    <w:p>
      <w:pPr>
        <w:ind w:left="397" w:hanging="255"/>
        <w:jc w:val="both"/>
      </w:pPr>
      <w:r>
        <w:t>-  la cohérence entre le document, l’entreprise, le référentiel et l’organisme ;</w:t>
      </w:r>
    </w:p>
    <w:p>
      <w:pPr>
        <w:ind w:left="397" w:hanging="255"/>
        <w:jc w:val="both"/>
      </w:pPr>
      <w:r>
        <w:t>-  la validité, les audits de surveillance et les éventuelles non-conformités majeures ;</w:t>
      </w:r>
    </w:p>
    <w:p>
      <w:pPr>
        <w:ind w:left="397" w:hanging="255"/>
        <w:jc w:val="both"/>
      </w:pPr>
      <w:r>
        <w:t>-  la consultation des sources officielles ou bases de l’organisme ;</w:t>
      </w:r>
    </w:p>
    <w:p>
      <w:pPr>
        <w:ind w:left="397" w:hanging="255"/>
        <w:jc w:val="both"/>
      </w:pPr>
      <w:r>
        <w:t>-  l’absence d’indice de falsification ou d’altération.</w:t>
      </w:r>
    </w:p>
    <w:p>
      <w:pPr>
        <w:jc w:val="both"/>
      </w:pPr>
      <w:r>
        <w:rPr>
          <w:i w:val="0"/>
        </w:rPr>
        <w:t>Lorsque les preuves internes ne suffisent pas, une demande de confirmation externe est créée. Elle conserve le canal, le destinataire, l’objet, la date d’envoi, l’échéance, les relances, la réponse, les pièces et le résultat d’exploitation.</w:t>
      </w:r>
    </w:p>
    <w:p>
      <w:pPr>
        <w:jc w:val="both"/>
      </w:pPr>
      <w:r>
        <w:rPr>
          <w:i w:val="0"/>
        </w:rPr>
        <w:t>Une absence de réponse ne vaut pas confirmation. Le dossier est alors maintenu « Non vérifié » ou « Suspect » selon les éléments disponibles et le niveau de risque.</w:t>
      </w:r>
    </w:p>
    <w:p>
      <w:pPr>
        <w:pStyle w:val="Titre2"/>
        <w:keepNext/>
      </w:pPr>
      <w:r>
        <w:t>8.8. Anomalies, risque et avis technique</w:t>
      </w:r>
    </w:p>
    <w:p>
      <w:pPr>
        <w:jc w:val="both"/>
      </w:pPr>
      <w:r>
        <w:rPr>
          <w:i w:val="0"/>
        </w:rPr>
        <w:t>Chaque anomalie reçoit une catégorie, une gravité, une description, une preuve éventuelle, un responsable, une échéance et un statut de traitement.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75"/>
        <w:gridCol w:w="3175"/>
        <w:gridCol w:w="3175"/>
      </w:tblGrid>
      <w:tr>
        <w:trPr>
          <w:tblHeader w:val="true"/>
        </w:trPr>
        <w:tc>
          <w:tcPr>
            <w:tcW w:type="dxa" w:w="1871"/>
            <w:shd w:fill="D9EAF7"/>
            <w:tcMar>
              <w:top w:w="70" w:type="dxa"/>
              <w:start w:w="80" w:type="dxa"/>
              <w:bottom w:w="70" w:type="dxa"/>
              <w:end w:w="80" w:type="dxa"/>
            </w:tcMar>
            <w:vAlign w:val="center"/>
          </w:tcPr>
          <w:p>
            <w:pPr>
              <w:jc w:val="center"/>
            </w:pPr>
            <w:r>
              <w:rPr>
                <w:b/>
                <w:sz w:val="17"/>
              </w:rPr>
              <w:t>Avis technique</w:t>
            </w:r>
          </w:p>
        </w:tc>
        <w:tc>
          <w:tcPr>
            <w:tcW w:type="dxa" w:w="4082"/>
            <w:shd w:fill="D9EAF7"/>
            <w:tcMar>
              <w:top w:w="70" w:type="dxa"/>
              <w:start w:w="80" w:type="dxa"/>
              <w:bottom w:w="70" w:type="dxa"/>
              <w:end w:w="80" w:type="dxa"/>
            </w:tcMar>
            <w:vAlign w:val="center"/>
          </w:tcPr>
          <w:p>
            <w:pPr>
              <w:jc w:val="center"/>
            </w:pPr>
            <w:r>
              <w:rPr>
                <w:b/>
                <w:sz w:val="17"/>
              </w:rPr>
              <w:t>Définition</w:t>
            </w:r>
          </w:p>
        </w:tc>
        <w:tc>
          <w:tcPr>
            <w:tcW w:type="dxa" w:w="3345"/>
            <w:shd w:fill="D9EAF7"/>
            <w:tcMar>
              <w:top w:w="70" w:type="dxa"/>
              <w:start w:w="80" w:type="dxa"/>
              <w:bottom w:w="70" w:type="dxa"/>
              <w:end w:w="80" w:type="dxa"/>
            </w:tcMar>
            <w:vAlign w:val="center"/>
          </w:tcPr>
          <w:p>
            <w:pPr>
              <w:jc w:val="center"/>
            </w:pPr>
            <w:r>
              <w:rPr>
                <w:b/>
                <w:sz w:val="17"/>
              </w:rPr>
              <w:t>Suite normale</w:t>
            </w:r>
          </w:p>
        </w:tc>
      </w:tr>
      <w:tr>
        <w:tc>
          <w:tcPr>
            <w:tcW w:type="dxa" w:w="1871"/>
            <w:tcMar>
              <w:top w:w="70" w:type="dxa"/>
              <w:start w:w="80" w:type="dxa"/>
              <w:bottom w:w="70" w:type="dxa"/>
              <w:end w:w="80" w:type="dxa"/>
            </w:tcMar>
            <w:vAlign w:val="center"/>
          </w:tcPr>
          <w:p>
            <w:pPr>
              <w:jc w:val="left"/>
            </w:pPr>
            <w:r>
              <w:rPr>
                <w:sz w:val="17"/>
              </w:rPr>
              <w:t>Vérifié conforme</w:t>
            </w:r>
          </w:p>
        </w:tc>
        <w:tc>
          <w:tcPr>
            <w:tcW w:type="dxa" w:w="4082"/>
            <w:tcMar>
              <w:top w:w="70" w:type="dxa"/>
              <w:start w:w="80" w:type="dxa"/>
              <w:bottom w:w="70" w:type="dxa"/>
              <w:end w:w="80" w:type="dxa"/>
            </w:tcMar>
            <w:vAlign w:val="center"/>
          </w:tcPr>
          <w:p>
            <w:pPr>
              <w:jc w:val="left"/>
            </w:pPr>
            <w:r>
              <w:rPr>
                <w:sz w:val="17"/>
              </w:rPr>
              <w:t>Les contrôles et preuves sont satisfaisants</w:t>
            </w:r>
          </w:p>
        </w:tc>
        <w:tc>
          <w:tcPr>
            <w:tcW w:type="dxa" w:w="3345"/>
            <w:tcMar>
              <w:top w:w="70" w:type="dxa"/>
              <w:start w:w="80" w:type="dxa"/>
              <w:bottom w:w="70" w:type="dxa"/>
              <w:end w:w="80" w:type="dxa"/>
            </w:tcMar>
            <w:vAlign w:val="center"/>
          </w:tcPr>
          <w:p>
            <w:pPr>
              <w:jc w:val="left"/>
            </w:pPr>
            <w:r>
              <w:rPr>
                <w:sz w:val="17"/>
              </w:rPr>
              <w:t>Transmission au contrôle FUCCS ou à la validation selon le parcours</w:t>
            </w:r>
          </w:p>
        </w:tc>
      </w:tr>
      <w:tr>
        <w:tc>
          <w:tcPr>
            <w:tcW w:type="dxa" w:w="1871"/>
            <w:tcMar>
              <w:top w:w="70" w:type="dxa"/>
              <w:start w:w="80" w:type="dxa"/>
              <w:bottom w:w="70" w:type="dxa"/>
              <w:end w:w="80" w:type="dxa"/>
            </w:tcMar>
            <w:vAlign w:val="center"/>
            <w:shd w:fill="F9FBFC"/>
          </w:tcPr>
          <w:p>
            <w:pPr>
              <w:jc w:val="left"/>
            </w:pPr>
            <w:r>
              <w:rPr>
                <w:sz w:val="17"/>
              </w:rPr>
              <w:t>Vérifié sous réserve</w:t>
            </w:r>
          </w:p>
        </w:tc>
        <w:tc>
          <w:tcPr>
            <w:tcW w:type="dxa" w:w="4082"/>
            <w:tcMar>
              <w:top w:w="70" w:type="dxa"/>
              <w:start w:w="80" w:type="dxa"/>
              <w:bottom w:w="70" w:type="dxa"/>
              <w:end w:w="80" w:type="dxa"/>
            </w:tcMar>
            <w:vAlign w:val="center"/>
            <w:shd w:fill="F9FBFC"/>
          </w:tcPr>
          <w:p>
            <w:pPr>
              <w:jc w:val="left"/>
            </w:pPr>
            <w:r>
              <w:rPr>
                <w:sz w:val="17"/>
              </w:rPr>
              <w:t>Écarts non bloquants, précisément documentés</w:t>
            </w:r>
          </w:p>
        </w:tc>
        <w:tc>
          <w:tcPr>
            <w:tcW w:type="dxa" w:w="3345"/>
            <w:tcMar>
              <w:top w:w="70" w:type="dxa"/>
              <w:start w:w="80" w:type="dxa"/>
              <w:bottom w:w="70" w:type="dxa"/>
              <w:end w:w="80" w:type="dxa"/>
            </w:tcMar>
            <w:vAlign w:val="center"/>
            <w:shd w:fill="F9FBFC"/>
          </w:tcPr>
          <w:p>
            <w:pPr>
              <w:jc w:val="left"/>
            </w:pPr>
            <w:r>
              <w:rPr>
                <w:sz w:val="17"/>
              </w:rPr>
              <w:t>Réserve, échéance et suivi obligatoires</w:t>
            </w:r>
          </w:p>
        </w:tc>
      </w:tr>
      <w:tr>
        <w:tc>
          <w:tcPr>
            <w:tcW w:type="dxa" w:w="1871"/>
            <w:tcMar>
              <w:top w:w="70" w:type="dxa"/>
              <w:start w:w="80" w:type="dxa"/>
              <w:bottom w:w="70" w:type="dxa"/>
              <w:end w:w="80" w:type="dxa"/>
            </w:tcMar>
            <w:vAlign w:val="center"/>
          </w:tcPr>
          <w:p>
            <w:pPr>
              <w:jc w:val="left"/>
            </w:pPr>
            <w:r>
              <w:rPr>
                <w:sz w:val="17"/>
              </w:rPr>
              <w:t>Non vérifié</w:t>
            </w:r>
          </w:p>
        </w:tc>
        <w:tc>
          <w:tcPr>
            <w:tcW w:type="dxa" w:w="4082"/>
            <w:tcMar>
              <w:top w:w="70" w:type="dxa"/>
              <w:start w:w="80" w:type="dxa"/>
              <w:bottom w:w="70" w:type="dxa"/>
              <w:end w:w="80" w:type="dxa"/>
            </w:tcMar>
            <w:vAlign w:val="center"/>
          </w:tcPr>
          <w:p>
            <w:pPr>
              <w:jc w:val="left"/>
            </w:pPr>
            <w:r>
              <w:rPr>
                <w:sz w:val="17"/>
              </w:rPr>
              <w:t>Preuves insuffisantes ou confirmation absente</w:t>
            </w:r>
          </w:p>
        </w:tc>
        <w:tc>
          <w:tcPr>
            <w:tcW w:type="dxa" w:w="3345"/>
            <w:tcMar>
              <w:top w:w="70" w:type="dxa"/>
              <w:start w:w="80" w:type="dxa"/>
              <w:bottom w:w="70" w:type="dxa"/>
              <w:end w:w="80" w:type="dxa"/>
            </w:tcMar>
            <w:vAlign w:val="center"/>
          </w:tcPr>
          <w:p>
            <w:pPr>
              <w:jc w:val="left"/>
            </w:pPr>
            <w:r>
              <w:rPr>
                <w:sz w:val="17"/>
              </w:rPr>
              <w:t>Demande de complément ou maintien dans la file de vérification</w:t>
            </w:r>
          </w:p>
        </w:tc>
      </w:tr>
      <w:tr>
        <w:tc>
          <w:tcPr>
            <w:tcW w:type="dxa" w:w="1871"/>
            <w:tcMar>
              <w:top w:w="70" w:type="dxa"/>
              <w:start w:w="80" w:type="dxa"/>
              <w:bottom w:w="70" w:type="dxa"/>
              <w:end w:w="80" w:type="dxa"/>
            </w:tcMar>
            <w:vAlign w:val="center"/>
            <w:shd w:fill="F9FBFC"/>
          </w:tcPr>
          <w:p>
            <w:pPr>
              <w:jc w:val="left"/>
            </w:pPr>
            <w:r>
              <w:rPr>
                <w:sz w:val="17"/>
              </w:rPr>
              <w:t>Suspect</w:t>
            </w:r>
          </w:p>
        </w:tc>
        <w:tc>
          <w:tcPr>
            <w:tcW w:type="dxa" w:w="4082"/>
            <w:tcMar>
              <w:top w:w="70" w:type="dxa"/>
              <w:start w:w="80" w:type="dxa"/>
              <w:bottom w:w="70" w:type="dxa"/>
              <w:end w:w="80" w:type="dxa"/>
            </w:tcMar>
            <w:vAlign w:val="center"/>
            <w:shd w:fill="F9FBFC"/>
          </w:tcPr>
          <w:p>
            <w:pPr>
              <w:jc w:val="left"/>
            </w:pPr>
            <w:r>
              <w:rPr>
                <w:sz w:val="17"/>
              </w:rPr>
              <w:t>Indices sérieux d’incohérence, fraude ou falsification</w:t>
            </w:r>
          </w:p>
        </w:tc>
        <w:tc>
          <w:tcPr>
            <w:tcW w:type="dxa" w:w="3345"/>
            <w:tcMar>
              <w:top w:w="70" w:type="dxa"/>
              <w:start w:w="80" w:type="dxa"/>
              <w:bottom w:w="70" w:type="dxa"/>
              <w:end w:w="80" w:type="dxa"/>
            </w:tcMar>
            <w:vAlign w:val="center"/>
            <w:shd w:fill="F9FBFC"/>
          </w:tcPr>
          <w:p>
            <w:pPr>
              <w:jc w:val="left"/>
            </w:pPr>
            <w:r>
              <w:rPr>
                <w:sz w:val="17"/>
              </w:rPr>
              <w:t>Escalade immédiate et suspension de la validation</w:t>
            </w:r>
          </w:p>
        </w:tc>
      </w:tr>
      <w:tr>
        <w:tc>
          <w:tcPr>
            <w:tcW w:type="dxa" w:w="1871"/>
            <w:tcMar>
              <w:top w:w="70" w:type="dxa"/>
              <w:start w:w="80" w:type="dxa"/>
              <w:bottom w:w="70" w:type="dxa"/>
              <w:end w:w="80" w:type="dxa"/>
            </w:tcMar>
            <w:vAlign w:val="center"/>
          </w:tcPr>
          <w:p>
            <w:pPr>
              <w:jc w:val="left"/>
            </w:pPr>
            <w:r>
              <w:rPr>
                <w:sz w:val="17"/>
              </w:rPr>
              <w:t>Rejeté</w:t>
            </w:r>
          </w:p>
        </w:tc>
        <w:tc>
          <w:tcPr>
            <w:tcW w:type="dxa" w:w="4082"/>
            <w:tcMar>
              <w:top w:w="70" w:type="dxa"/>
              <w:start w:w="80" w:type="dxa"/>
              <w:bottom w:w="70" w:type="dxa"/>
              <w:end w:w="80" w:type="dxa"/>
            </w:tcMar>
            <w:vAlign w:val="center"/>
          </w:tcPr>
          <w:p>
            <w:pPr>
              <w:jc w:val="left"/>
            </w:pPr>
            <w:r>
              <w:rPr>
                <w:sz w:val="17"/>
              </w:rPr>
              <w:t>Écart bloquant non régularisable ou information manifestement invalide</w:t>
            </w:r>
          </w:p>
        </w:tc>
        <w:tc>
          <w:tcPr>
            <w:tcW w:type="dxa" w:w="3345"/>
            <w:tcMar>
              <w:top w:w="70" w:type="dxa"/>
              <w:start w:w="80" w:type="dxa"/>
              <w:bottom w:w="70" w:type="dxa"/>
              <w:end w:w="80" w:type="dxa"/>
            </w:tcMar>
            <w:vAlign w:val="center"/>
          </w:tcPr>
          <w:p>
            <w:pPr>
              <w:jc w:val="left"/>
            </w:pPr>
            <w:r>
              <w:rPr>
                <w:sz w:val="17"/>
              </w:rPr>
              <w:t>Clôture motivée, archivage et notification</w:t>
            </w:r>
          </w:p>
        </w:tc>
      </w:tr>
    </w:tbl>
    <w:p/>
    <w:p>
      <w:pPr>
        <w:jc w:val="both"/>
      </w:pPr>
      <w:r>
        <w:rPr>
          <w:i w:val="0"/>
        </w:rPr>
        <w:t>L’avis technique ne constitue pas la validation définitive. Il motive la suite du parcours et reste modifiable uniquement selon les habilitations et la traçabilité prévues.</w:t>
      </w:r>
    </w:p>
    <w:p>
      <w:pPr>
        <w:pStyle w:val="Titre2"/>
        <w:keepNext/>
        <w:pageBreakBefore/>
      </w:pPr>
      <w:r>
        <w:t>8.9. Contrôle FUCCS</w:t>
      </w:r>
    </w:p>
    <w:p>
      <w:pPr>
        <w:jc w:val="both"/>
      </w:pPr>
      <w:r>
        <w:rPr>
          <w:i w:val="0"/>
        </w:rPr>
        <w:t>Après une vérification suffisamment favorable, le contrôle approfondi applique la version publiée de la grille FUCCS.</w:t>
      </w:r>
    </w:p>
    <w:p>
      <w:pPr>
        <w:ind w:left="397" w:hanging="255"/>
        <w:jc w:val="both"/>
      </w:pPr>
      <w:r>
        <w:t>-  chaque critère est noté selon le barème officiel 0, 1 ou 2 ;</w:t>
      </w:r>
    </w:p>
    <w:p>
      <w:pPr>
        <w:ind w:left="397" w:hanging="255"/>
        <w:jc w:val="both"/>
      </w:pPr>
      <w:r>
        <w:t>-  les commentaires et preuves obligatoires sont enregistrés ;</w:t>
      </w:r>
    </w:p>
    <w:p>
      <w:pPr>
        <w:ind w:left="397" w:hanging="255"/>
        <w:jc w:val="both"/>
      </w:pPr>
      <w:r>
        <w:t>-  le score brut, le score maximal et le taux sont calculés par le système ;</w:t>
      </w:r>
    </w:p>
    <w:p>
      <w:pPr>
        <w:ind w:left="397" w:hanging="255"/>
        <w:jc w:val="both"/>
      </w:pPr>
      <w:r>
        <w:t>-  les constats, non-conformités et risques sont conservés ;</w:t>
      </w:r>
    </w:p>
    <w:p>
      <w:pPr>
        <w:ind w:left="397" w:hanging="255"/>
        <w:jc w:val="both"/>
      </w:pPr>
      <w:r>
        <w:t>-  la grille utilisée est identifiée par sa version et sa date d’effet.</w:t>
      </w:r>
    </w:p>
    <w:p>
      <w:pPr>
        <w:jc w:val="both"/>
      </w:pPr>
      <w:r>
        <w:rPr>
          <w:i/>
        </w:rPr>
        <w:t>La grille FUCCS sur 56, la classification globale de l'entreprise, l'INFC sur 100 et le classement SNCC sont quatre mécanismes distincts. Les sous-vérifications de la fiche HAUQE/FCC/01 servent à documenter le contrôle et ne doivent pas être fusionnées automatiquement avec les critères notés.</w:t>
      </w:r>
    </w:p>
    <w:p>
      <w:pPr>
        <w:pStyle w:val="Titre2"/>
        <w:keepNext/>
      </w:pPr>
      <w:r>
        <w:t>8.10. Validation hiérarchisée</w:t>
      </w:r>
    </w:p>
    <w:p>
      <w:pPr>
        <w:jc w:val="both"/>
      </w:pPr>
      <w:r>
        <w:rPr>
          <w:i w:val="0"/>
        </w:rPr>
        <w:t>Le dossier, l’avis technique, le contrôle FUCCS, les anomalies, les réserves et les preuves sont soumis au circuit de validation défini par les habilitations en vigueur.</w:t>
      </w:r>
    </w:p>
    <w:p>
      <w:pPr>
        <w:jc w:val="both"/>
      </w:pPr>
      <w:r>
        <w:rPr>
          <w:i w:val="0"/>
        </w:rPr>
        <w:t>Le circuit comprend au minimum :</w:t>
      </w:r>
    </w:p>
    <w:p>
      <w:pPr>
        <w:ind w:left="397" w:hanging="255"/>
        <w:jc w:val="both"/>
      </w:pPr>
      <w:r>
        <w:t>-  une revue technique de premier niveau par le Point focal ou le superviseur habilité ;</w:t>
      </w:r>
    </w:p>
    <w:p>
      <w:pPr>
        <w:ind w:left="397" w:hanging="255"/>
        <w:jc w:val="both"/>
      </w:pPr>
      <w:r>
        <w:t>-  une validation définitive de second niveau par la Direction Technique ou l’autorité désignée ;</w:t>
      </w:r>
    </w:p>
    <w:p>
      <w:pPr>
        <w:ind w:left="397" w:hanging="255"/>
        <w:jc w:val="both"/>
      </w:pPr>
      <w:r>
        <w:t>-  la conservation des visas, réserves, justifications, dates et identités des validateurs.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75"/>
        <w:gridCol w:w="3175"/>
        <w:gridCol w:w="3175"/>
      </w:tblGrid>
      <w:tr>
        <w:trPr>
          <w:tblHeader w:val="true"/>
        </w:trPr>
        <w:tc>
          <w:tcPr>
            <w:tcW w:type="dxa" w:w="1984"/>
            <w:shd w:fill="D9EAF7"/>
            <w:tcMar>
              <w:top w:w="70" w:type="dxa"/>
              <w:start w:w="80" w:type="dxa"/>
              <w:bottom w:w="70" w:type="dxa"/>
              <w:end w:w="80" w:type="dxa"/>
            </w:tcMar>
            <w:vAlign w:val="center"/>
          </w:tcPr>
          <w:p>
            <w:pPr>
              <w:jc w:val="center"/>
            </w:pPr>
            <w:r>
              <w:rPr>
                <w:b/>
                <w:sz w:val="17"/>
              </w:rPr>
              <w:t>Décision</w:t>
            </w:r>
          </w:p>
        </w:tc>
        <w:tc>
          <w:tcPr>
            <w:tcW w:type="dxa" w:w="4195"/>
            <w:shd w:fill="D9EAF7"/>
            <w:tcMar>
              <w:top w:w="70" w:type="dxa"/>
              <w:start w:w="80" w:type="dxa"/>
              <w:bottom w:w="70" w:type="dxa"/>
              <w:end w:w="80" w:type="dxa"/>
            </w:tcMar>
            <w:vAlign w:val="center"/>
          </w:tcPr>
          <w:p>
            <w:pPr>
              <w:jc w:val="center"/>
            </w:pPr>
            <w:r>
              <w:rPr>
                <w:b/>
                <w:sz w:val="17"/>
              </w:rPr>
              <w:t>Conditions</w:t>
            </w:r>
          </w:p>
        </w:tc>
        <w:tc>
          <w:tcPr>
            <w:tcW w:type="dxa" w:w="3118"/>
            <w:shd w:fill="D9EAF7"/>
            <w:tcMar>
              <w:top w:w="70" w:type="dxa"/>
              <w:start w:w="80" w:type="dxa"/>
              <w:bottom w:w="70" w:type="dxa"/>
              <w:end w:w="80" w:type="dxa"/>
            </w:tcMar>
            <w:vAlign w:val="center"/>
          </w:tcPr>
          <w:p>
            <w:pPr>
              <w:jc w:val="center"/>
            </w:pPr>
            <w:r>
              <w:rPr>
                <w:b/>
                <w:sz w:val="17"/>
              </w:rPr>
              <w:t>Effet sur le dossier</w:t>
            </w:r>
          </w:p>
        </w:tc>
      </w:tr>
      <w:tr>
        <w:tc>
          <w:tcPr>
            <w:tcW w:type="dxa" w:w="1984"/>
            <w:tcMar>
              <w:top w:w="70" w:type="dxa"/>
              <w:start w:w="80" w:type="dxa"/>
              <w:bottom w:w="70" w:type="dxa"/>
              <w:end w:w="80" w:type="dxa"/>
            </w:tcMar>
            <w:vAlign w:val="center"/>
          </w:tcPr>
          <w:p>
            <w:pPr>
              <w:jc w:val="left"/>
            </w:pPr>
            <w:r>
              <w:rPr>
                <w:sz w:val="17"/>
              </w:rPr>
              <w:t>Validé</w:t>
            </w:r>
          </w:p>
        </w:tc>
        <w:tc>
          <w:tcPr>
            <w:tcW w:type="dxa" w:w="4195"/>
            <w:tcMar>
              <w:top w:w="70" w:type="dxa"/>
              <w:start w:w="80" w:type="dxa"/>
              <w:bottom w:w="70" w:type="dxa"/>
              <w:end w:w="80" w:type="dxa"/>
            </w:tcMar>
            <w:vAlign w:val="center"/>
          </w:tcPr>
          <w:p>
            <w:pPr>
              <w:jc w:val="left"/>
            </w:pPr>
            <w:r>
              <w:rPr>
                <w:sz w:val="17"/>
              </w:rPr>
              <w:t>Dossier conforme, preuves suffisantes, anomalies bloquantes levées</w:t>
            </w:r>
          </w:p>
        </w:tc>
        <w:tc>
          <w:tcPr>
            <w:tcW w:type="dxa" w:w="3118"/>
            <w:tcMar>
              <w:top w:w="70" w:type="dxa"/>
              <w:start w:w="80" w:type="dxa"/>
              <w:bottom w:w="70" w:type="dxa"/>
              <w:end w:w="80" w:type="dxa"/>
            </w:tcMar>
            <w:vAlign w:val="center"/>
          </w:tcPr>
          <w:p>
            <w:pPr>
              <w:jc w:val="left"/>
            </w:pPr>
            <w:r>
              <w:rPr>
                <w:sz w:val="17"/>
              </w:rPr>
              <w:t>Autorisation de transfert vers l’intégration BNEC</w:t>
            </w:r>
          </w:p>
        </w:tc>
      </w:tr>
      <w:tr>
        <w:tc>
          <w:tcPr>
            <w:tcW w:type="dxa" w:w="1984"/>
            <w:tcMar>
              <w:top w:w="70" w:type="dxa"/>
              <w:start w:w="80" w:type="dxa"/>
              <w:bottom w:w="70" w:type="dxa"/>
              <w:end w:w="80" w:type="dxa"/>
            </w:tcMar>
            <w:vAlign w:val="center"/>
            <w:shd w:fill="F9FBFC"/>
          </w:tcPr>
          <w:p>
            <w:pPr>
              <w:jc w:val="left"/>
            </w:pPr>
            <w:r>
              <w:rPr>
                <w:sz w:val="17"/>
              </w:rPr>
              <w:t>Validé sous réserve</w:t>
            </w:r>
          </w:p>
        </w:tc>
        <w:tc>
          <w:tcPr>
            <w:tcW w:type="dxa" w:w="4195"/>
            <w:tcMar>
              <w:top w:w="70" w:type="dxa"/>
              <w:start w:w="80" w:type="dxa"/>
              <w:bottom w:w="70" w:type="dxa"/>
              <w:end w:w="80" w:type="dxa"/>
            </w:tcMar>
            <w:vAlign w:val="center"/>
            <w:shd w:fill="F9FBFC"/>
          </w:tcPr>
          <w:p>
            <w:pPr>
              <w:jc w:val="left"/>
            </w:pPr>
            <w:r>
              <w:rPr>
                <w:sz w:val="17"/>
              </w:rPr>
              <w:t>Écarts non bloquants avec plan d’action, responsable et délai</w:t>
            </w:r>
          </w:p>
        </w:tc>
        <w:tc>
          <w:tcPr>
            <w:tcW w:type="dxa" w:w="3118"/>
            <w:tcMar>
              <w:top w:w="70" w:type="dxa"/>
              <w:start w:w="80" w:type="dxa"/>
              <w:bottom w:w="70" w:type="dxa"/>
              <w:end w:w="80" w:type="dxa"/>
            </w:tcMar>
            <w:vAlign w:val="center"/>
            <w:shd w:fill="F9FBFC"/>
          </w:tcPr>
          <w:p>
            <w:pPr>
              <w:jc w:val="left"/>
            </w:pPr>
            <w:r>
              <w:rPr>
                <w:sz w:val="17"/>
              </w:rPr>
              <w:t>Intégration autorisée selon la portée de la réserve et suivi obligatoire</w:t>
            </w:r>
          </w:p>
        </w:tc>
      </w:tr>
      <w:tr>
        <w:tc>
          <w:tcPr>
            <w:tcW w:type="dxa" w:w="1984"/>
            <w:tcMar>
              <w:top w:w="70" w:type="dxa"/>
              <w:start w:w="80" w:type="dxa"/>
              <w:bottom w:w="70" w:type="dxa"/>
              <w:end w:w="80" w:type="dxa"/>
            </w:tcMar>
            <w:vAlign w:val="center"/>
          </w:tcPr>
          <w:p>
            <w:pPr>
              <w:jc w:val="left"/>
            </w:pPr>
            <w:r>
              <w:rPr>
                <w:sz w:val="17"/>
              </w:rPr>
              <w:t>Ajourné</w:t>
            </w:r>
          </w:p>
        </w:tc>
        <w:tc>
          <w:tcPr>
            <w:tcW w:type="dxa" w:w="4195"/>
            <w:tcMar>
              <w:top w:w="70" w:type="dxa"/>
              <w:start w:w="80" w:type="dxa"/>
              <w:bottom w:w="70" w:type="dxa"/>
              <w:end w:w="80" w:type="dxa"/>
            </w:tcMar>
            <w:vAlign w:val="center"/>
          </w:tcPr>
          <w:p>
            <w:pPr>
              <w:jc w:val="left"/>
            </w:pPr>
            <w:r>
              <w:rPr>
                <w:sz w:val="17"/>
              </w:rPr>
              <w:t>Compléments ou corrections nécessaires avant décision</w:t>
            </w:r>
          </w:p>
        </w:tc>
        <w:tc>
          <w:tcPr>
            <w:tcW w:type="dxa" w:w="3118"/>
            <w:tcMar>
              <w:top w:w="70" w:type="dxa"/>
              <w:start w:w="80" w:type="dxa"/>
              <w:bottom w:w="70" w:type="dxa"/>
              <w:end w:w="80" w:type="dxa"/>
            </w:tcMar>
            <w:vAlign w:val="center"/>
          </w:tcPr>
          <w:p>
            <w:pPr>
              <w:jc w:val="left"/>
            </w:pPr>
            <w:r>
              <w:rPr>
                <w:sz w:val="17"/>
              </w:rPr>
              <w:t>Retour contrôlé avec échéance et nouvelle soumission</w:t>
            </w:r>
          </w:p>
        </w:tc>
      </w:tr>
      <w:tr>
        <w:tc>
          <w:tcPr>
            <w:tcW w:type="dxa" w:w="1984"/>
            <w:tcMar>
              <w:top w:w="70" w:type="dxa"/>
              <w:start w:w="80" w:type="dxa"/>
              <w:bottom w:w="70" w:type="dxa"/>
              <w:end w:w="80" w:type="dxa"/>
            </w:tcMar>
            <w:vAlign w:val="center"/>
            <w:shd w:fill="F9FBFC"/>
          </w:tcPr>
          <w:p>
            <w:pPr>
              <w:jc w:val="left"/>
            </w:pPr>
            <w:r>
              <w:rPr>
                <w:sz w:val="17"/>
              </w:rPr>
              <w:t>Rejeté</w:t>
            </w:r>
          </w:p>
        </w:tc>
        <w:tc>
          <w:tcPr>
            <w:tcW w:type="dxa" w:w="4195"/>
            <w:tcMar>
              <w:top w:w="70" w:type="dxa"/>
              <w:start w:w="80" w:type="dxa"/>
              <w:bottom w:w="70" w:type="dxa"/>
              <w:end w:w="80" w:type="dxa"/>
            </w:tcMar>
            <w:vAlign w:val="center"/>
            <w:shd w:fill="F9FBFC"/>
          </w:tcPr>
          <w:p>
            <w:pPr>
              <w:jc w:val="left"/>
            </w:pPr>
            <w:r>
              <w:rPr>
                <w:sz w:val="17"/>
              </w:rPr>
              <w:t>Écart majeur, fraude, incohérence non résolue ou non-conformité rédhibitoire</w:t>
            </w:r>
          </w:p>
        </w:tc>
        <w:tc>
          <w:tcPr>
            <w:tcW w:type="dxa" w:w="3118"/>
            <w:tcMar>
              <w:top w:w="70" w:type="dxa"/>
              <w:start w:w="80" w:type="dxa"/>
              <w:bottom w:w="70" w:type="dxa"/>
              <w:end w:w="80" w:type="dxa"/>
            </w:tcMar>
            <w:vAlign w:val="center"/>
            <w:shd w:fill="F9FBFC"/>
          </w:tcPr>
          <w:p>
            <w:pPr>
              <w:jc w:val="left"/>
            </w:pPr>
            <w:r>
              <w:rPr>
                <w:sz w:val="17"/>
              </w:rPr>
              <w:t>Clôture motivée, notification et archivage</w:t>
            </w:r>
          </w:p>
        </w:tc>
      </w:tr>
    </w:tbl>
    <w:p/>
    <w:p>
      <w:pPr>
        <w:jc w:val="both"/>
      </w:pPr>
      <w:r>
        <w:rPr>
          <w:i w:val="0"/>
        </w:rPr>
        <w:t>Seul un dossier formellement validé peut être placé dans la file d’intégration BNEC. La validation n’attribue pas encore automatiquement le code national et ne remplace pas le contrôle post-intégration.</w:t>
      </w:r>
    </w:p>
    <w:p>
      <w:pPr>
        <w:pStyle w:val="Titre2"/>
        <w:keepNext/>
        <w:pageBreakBefore/>
      </w:pPr>
      <w:r>
        <w:t>8.11. Corrections, resoumission et transfert</w:t>
      </w:r>
    </w:p>
    <w:p>
      <w:pPr>
        <w:ind w:left="397" w:hanging="255"/>
        <w:jc w:val="both"/>
      </w:pPr>
      <w:r>
        <w:t>-  Toute demande de correction précise le motif, les instructions, le responsable et l’échéance.</w:t>
      </w:r>
    </w:p>
    <w:p>
      <w:pPr>
        <w:ind w:left="397" w:hanging="255"/>
        <w:jc w:val="both"/>
      </w:pPr>
      <w:r>
        <w:t>-  La fiche soumise peut être modifiée jusqu’à la validation définitive (RM-37).</w:t>
      </w:r>
    </w:p>
    <w:p>
      <w:pPr>
        <w:ind w:left="397" w:hanging="255"/>
        <w:jc w:val="both"/>
      </w:pPr>
      <w:r>
        <w:t>-  Après validation définitive, toute modification exige une autorisation spécifique et génère une nouvelle version.</w:t>
      </w:r>
    </w:p>
    <w:p>
      <w:pPr>
        <w:ind w:left="397" w:hanging="255"/>
        <w:jc w:val="both"/>
      </w:pPr>
      <w:r>
        <w:t>-  La resoumission ne détruit pas la version antérieure ; les différences restent consultables.</w:t>
      </w:r>
    </w:p>
    <w:p>
      <w:pPr>
        <w:ind w:left="397" w:hanging="255"/>
        <w:jc w:val="both"/>
      </w:pPr>
      <w:r>
        <w:t>-  Le transfert vers l’intégration comprend le dossier validé, les preuves, les avis, le contrôle, les réserves et la décision.</w:t>
      </w:r>
    </w:p>
    <w:p>
      <w:pPr>
        <w:ind w:left="397" w:hanging="255"/>
        <w:jc w:val="both"/>
      </w:pPr>
      <w:r>
        <w:t>-  L’Administrateur fonctionnel réalise ensuite le précontrôle, la codification, l’intégration et le contrôle post-intégration.</w:t>
      </w:r>
    </w:p>
    <w:p>
      <w:pPr>
        <w:pStyle w:val="Titre1"/>
        <w:keepNext/>
      </w:pPr>
      <w:r>
        <w:t>9. STATUTS, AVIS ET DÉCISIONS</w:t>
      </w:r>
    </w:p>
    <w:p>
      <w:pPr>
        <w:jc w:val="both"/>
      </w:pPr>
      <w:r>
        <w:rPr>
          <w:i w:val="0"/>
        </w:rPr>
        <w:t>Les statuts doivent refléter l’étape réelle du dossier et ne pas être utilisés comme simples étiquettes visuelles.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62"/>
        <w:gridCol w:w="4762"/>
      </w:tblGrid>
      <w:tr>
        <w:trPr>
          <w:tblHeader w:val="true"/>
        </w:trPr>
        <w:tc>
          <w:tcPr>
            <w:tcW w:type="dxa" w:w="2268"/>
            <w:shd w:fill="D9EAF7"/>
            <w:tcMar>
              <w:top w:w="70" w:type="dxa"/>
              <w:start w:w="80" w:type="dxa"/>
              <w:bottom w:w="70" w:type="dxa"/>
              <w:end w:w="80" w:type="dxa"/>
            </w:tcMar>
            <w:vAlign w:val="center"/>
          </w:tcPr>
          <w:p>
            <w:pPr>
              <w:jc w:val="center"/>
            </w:pPr>
            <w:r>
              <w:rPr>
                <w:b/>
                <w:sz w:val="18"/>
              </w:rPr>
              <w:t>Famille</w:t>
            </w:r>
          </w:p>
        </w:tc>
        <w:tc>
          <w:tcPr>
            <w:tcW w:type="dxa" w:w="7030"/>
            <w:shd w:fill="D9EAF7"/>
            <w:tcMar>
              <w:top w:w="70" w:type="dxa"/>
              <w:start w:w="80" w:type="dxa"/>
              <w:bottom w:w="70" w:type="dxa"/>
              <w:end w:w="80" w:type="dxa"/>
            </w:tcMar>
            <w:vAlign w:val="center"/>
          </w:tcPr>
          <w:p>
            <w:pPr>
              <w:jc w:val="center"/>
            </w:pPr>
            <w:r>
              <w:rPr>
                <w:b/>
                <w:sz w:val="18"/>
              </w:rPr>
              <w:t>Valeurs de référence</w:t>
            </w:r>
          </w:p>
        </w:tc>
      </w:tr>
      <w:tr>
        <w:tc>
          <w:tcPr>
            <w:tcW w:type="dxa" w:w="2268"/>
            <w:tcMar>
              <w:top w:w="70" w:type="dxa"/>
              <w:start w:w="80" w:type="dxa"/>
              <w:bottom w:w="70" w:type="dxa"/>
              <w:end w:w="80" w:type="dxa"/>
            </w:tcMar>
            <w:vAlign w:val="center"/>
          </w:tcPr>
          <w:p>
            <w:pPr>
              <w:jc w:val="left"/>
            </w:pPr>
            <w:r>
              <w:rPr>
                <w:sz w:val="18"/>
              </w:rPr>
              <w:t>Fiche de collecte</w:t>
            </w:r>
          </w:p>
        </w:tc>
        <w:tc>
          <w:tcPr>
            <w:tcW w:type="dxa" w:w="7030"/>
            <w:tcMar>
              <w:top w:w="70" w:type="dxa"/>
              <w:start w:w="80" w:type="dxa"/>
              <w:bottom w:w="70" w:type="dxa"/>
              <w:end w:w="80" w:type="dxa"/>
            </w:tcMar>
            <w:vAlign w:val="center"/>
          </w:tcPr>
          <w:p>
            <w:pPr>
              <w:jc w:val="left"/>
            </w:pPr>
            <w:r>
              <w:rPr>
                <w:sz w:val="18"/>
              </w:rPr>
              <w:t>Brouillon ; Soumise ; À corriger ; Resoumise ; Clôturée</w:t>
            </w:r>
          </w:p>
        </w:tc>
      </w:tr>
      <w:tr>
        <w:tc>
          <w:tcPr>
            <w:tcW w:type="dxa" w:w="2268"/>
            <w:tcMar>
              <w:top w:w="70" w:type="dxa"/>
              <w:start w:w="80" w:type="dxa"/>
              <w:bottom w:w="70" w:type="dxa"/>
              <w:end w:w="80" w:type="dxa"/>
            </w:tcMar>
            <w:vAlign w:val="center"/>
            <w:shd w:fill="F9FBFC"/>
          </w:tcPr>
          <w:p>
            <w:pPr>
              <w:jc w:val="left"/>
            </w:pPr>
            <w:r>
              <w:rPr>
                <w:sz w:val="18"/>
              </w:rPr>
              <w:t>Vérification</w:t>
            </w:r>
          </w:p>
        </w:tc>
        <w:tc>
          <w:tcPr>
            <w:tcW w:type="dxa" w:w="7030"/>
            <w:tcMar>
              <w:top w:w="70" w:type="dxa"/>
              <w:start w:w="80" w:type="dxa"/>
              <w:bottom w:w="70" w:type="dxa"/>
              <w:end w:w="80" w:type="dxa"/>
            </w:tcMar>
            <w:vAlign w:val="center"/>
            <w:shd w:fill="F9FBFC"/>
          </w:tcPr>
          <w:p>
            <w:pPr>
              <w:jc w:val="left"/>
            </w:pPr>
            <w:r>
              <w:rPr>
                <w:sz w:val="18"/>
              </w:rPr>
              <w:t>Non affectée ; Affectée ; En cours ; En attente de réponse ; Vérifiée ; Suspecte ; Rejetée</w:t>
            </w:r>
          </w:p>
        </w:tc>
      </w:tr>
      <w:tr>
        <w:tc>
          <w:tcPr>
            <w:tcW w:type="dxa" w:w="2268"/>
            <w:tcMar>
              <w:top w:w="70" w:type="dxa"/>
              <w:start w:w="80" w:type="dxa"/>
              <w:bottom w:w="70" w:type="dxa"/>
              <w:end w:w="80" w:type="dxa"/>
            </w:tcMar>
            <w:vAlign w:val="center"/>
          </w:tcPr>
          <w:p>
            <w:pPr>
              <w:jc w:val="left"/>
            </w:pPr>
            <w:r>
              <w:rPr>
                <w:sz w:val="18"/>
              </w:rPr>
              <w:t>Avis technique</w:t>
            </w:r>
          </w:p>
        </w:tc>
        <w:tc>
          <w:tcPr>
            <w:tcW w:type="dxa" w:w="7030"/>
            <w:tcMar>
              <w:top w:w="70" w:type="dxa"/>
              <w:start w:w="80" w:type="dxa"/>
              <w:bottom w:w="70" w:type="dxa"/>
              <w:end w:w="80" w:type="dxa"/>
            </w:tcMar>
            <w:vAlign w:val="center"/>
          </w:tcPr>
          <w:p>
            <w:pPr>
              <w:jc w:val="left"/>
            </w:pPr>
            <w:r>
              <w:rPr>
                <w:sz w:val="18"/>
              </w:rPr>
              <w:t>Vérifié conforme ; Vérifié sous réserve ; Non vérifié ; Suspect ; Rejeté</w:t>
            </w:r>
          </w:p>
        </w:tc>
      </w:tr>
      <w:tr>
        <w:tc>
          <w:tcPr>
            <w:tcW w:type="dxa" w:w="2268"/>
            <w:tcMar>
              <w:top w:w="70" w:type="dxa"/>
              <w:start w:w="80" w:type="dxa"/>
              <w:bottom w:w="70" w:type="dxa"/>
              <w:end w:w="80" w:type="dxa"/>
            </w:tcMar>
            <w:vAlign w:val="center"/>
            <w:shd w:fill="F9FBFC"/>
          </w:tcPr>
          <w:p>
            <w:pPr>
              <w:jc w:val="left"/>
            </w:pPr>
            <w:r>
              <w:rPr>
                <w:sz w:val="18"/>
              </w:rPr>
              <w:t>Contrôle FUCCS</w:t>
            </w:r>
          </w:p>
        </w:tc>
        <w:tc>
          <w:tcPr>
            <w:tcW w:type="dxa" w:w="7030"/>
            <w:tcMar>
              <w:top w:w="70" w:type="dxa"/>
              <w:start w:w="80" w:type="dxa"/>
              <w:bottom w:w="70" w:type="dxa"/>
              <w:end w:w="80" w:type="dxa"/>
            </w:tcMar>
            <w:vAlign w:val="center"/>
            <w:shd w:fill="F9FBFC"/>
          </w:tcPr>
          <w:p>
            <w:pPr>
              <w:jc w:val="left"/>
            </w:pPr>
            <w:r>
              <w:rPr>
                <w:sz w:val="18"/>
              </w:rPr>
              <w:t>À démarrer ; En cours ; Terminé ; À reprendre ; Validé techniquement</w:t>
            </w:r>
          </w:p>
        </w:tc>
      </w:tr>
      <w:tr>
        <w:tc>
          <w:tcPr>
            <w:tcW w:type="dxa" w:w="2268"/>
            <w:tcMar>
              <w:top w:w="70" w:type="dxa"/>
              <w:start w:w="80" w:type="dxa"/>
              <w:bottom w:w="70" w:type="dxa"/>
              <w:end w:w="80" w:type="dxa"/>
            </w:tcMar>
            <w:vAlign w:val="center"/>
          </w:tcPr>
          <w:p>
            <w:pPr>
              <w:jc w:val="left"/>
            </w:pPr>
            <w:r>
              <w:rPr>
                <w:sz w:val="18"/>
              </w:rPr>
              <w:t>Validation</w:t>
            </w:r>
          </w:p>
        </w:tc>
        <w:tc>
          <w:tcPr>
            <w:tcW w:type="dxa" w:w="7030"/>
            <w:tcMar>
              <w:top w:w="70" w:type="dxa"/>
              <w:start w:w="80" w:type="dxa"/>
              <w:bottom w:w="70" w:type="dxa"/>
              <w:end w:w="80" w:type="dxa"/>
            </w:tcMar>
            <w:vAlign w:val="center"/>
          </w:tcPr>
          <w:p>
            <w:pPr>
              <w:jc w:val="left"/>
            </w:pPr>
            <w:r>
              <w:rPr>
                <w:sz w:val="18"/>
              </w:rPr>
              <w:t>À valider ; Validé ; Validé sous réserve ; Ajourné ; Rejeté</w:t>
            </w:r>
          </w:p>
        </w:tc>
      </w:tr>
      <w:tr>
        <w:tc>
          <w:tcPr>
            <w:tcW w:type="dxa" w:w="2268"/>
            <w:tcMar>
              <w:top w:w="70" w:type="dxa"/>
              <w:start w:w="80" w:type="dxa"/>
              <w:bottom w:w="70" w:type="dxa"/>
              <w:end w:w="80" w:type="dxa"/>
            </w:tcMar>
            <w:vAlign w:val="center"/>
            <w:shd w:fill="F9FBFC"/>
          </w:tcPr>
          <w:p>
            <w:pPr>
              <w:jc w:val="left"/>
            </w:pPr>
            <w:r>
              <w:rPr>
                <w:sz w:val="18"/>
              </w:rPr>
              <w:t>Intégration</w:t>
            </w:r>
          </w:p>
        </w:tc>
        <w:tc>
          <w:tcPr>
            <w:tcW w:type="dxa" w:w="7030"/>
            <w:tcMar>
              <w:top w:w="70" w:type="dxa"/>
              <w:start w:w="80" w:type="dxa"/>
              <w:bottom w:w="70" w:type="dxa"/>
              <w:end w:w="80" w:type="dxa"/>
            </w:tcMar>
            <w:vAlign w:val="center"/>
            <w:shd w:fill="F9FBFC"/>
          </w:tcPr>
          <w:p>
            <w:pPr>
              <w:jc w:val="left"/>
            </w:pPr>
            <w:r>
              <w:rPr>
                <w:sz w:val="18"/>
              </w:rPr>
              <w:t>En attente ; Précontrôle ; Intégration en cours ; Postcontrôle ; Intégrée ; Échec</w:t>
            </w:r>
          </w:p>
        </w:tc>
      </w:tr>
    </w:tbl>
    <w:p/>
    <w:p>
      <w:pPr>
        <w:jc w:val="both"/>
      </w:pPr>
      <w:r>
        <w:rPr>
          <w:i/>
        </w:rPr>
        <w:t>Le catalogue définitif des statuts, transitions et droits associés doit être publié et versionné. Toute transition non autorisée est bloquée côté serveur et journalisée.</w:t>
      </w:r>
    </w:p>
    <w:p>
      <w:pPr>
        <w:pStyle w:val="Titre1"/>
        <w:keepNext/>
        <w:pageBreakBefore/>
      </w:pPr>
      <w:r>
        <w:t>10. DÉLAIS DE TRAITEMENT</w:t>
      </w:r>
    </w:p>
    <w:p>
      <w:pPr>
        <w:jc w:val="both"/>
      </w:pPr>
      <w:r>
        <w:rPr>
          <w:i w:val="0"/>
        </w:rPr>
        <w:t>Les délais sont paramétrables par la HAUQE et font l’objet d’alertes de retard. Les valeurs ci-dessous constituent une configuration initiale proposée, à confirmer avant mise en vigueur.</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75"/>
        <w:gridCol w:w="3175"/>
        <w:gridCol w:w="3175"/>
      </w:tblGrid>
      <w:tr>
        <w:trPr>
          <w:tblHeader w:val="true"/>
        </w:trPr>
        <w:tc>
          <w:tcPr>
            <w:tcW w:type="dxa" w:w="3005"/>
            <w:shd w:fill="D9EAF7"/>
            <w:tcMar>
              <w:top w:w="70" w:type="dxa"/>
              <w:start w:w="80" w:type="dxa"/>
              <w:bottom w:w="70" w:type="dxa"/>
              <w:end w:w="80" w:type="dxa"/>
            </w:tcMar>
            <w:vAlign w:val="center"/>
          </w:tcPr>
          <w:p>
            <w:pPr>
              <w:jc w:val="center"/>
            </w:pPr>
            <w:r>
              <w:rPr>
                <w:b/>
                <w:sz w:val="17"/>
              </w:rPr>
              <w:t>Activité</w:t>
            </w:r>
          </w:p>
        </w:tc>
        <w:tc>
          <w:tcPr>
            <w:tcW w:type="dxa" w:w="2268"/>
            <w:shd w:fill="D9EAF7"/>
            <w:tcMar>
              <w:top w:w="70" w:type="dxa"/>
              <w:start w:w="80" w:type="dxa"/>
              <w:bottom w:w="70" w:type="dxa"/>
              <w:end w:w="80" w:type="dxa"/>
            </w:tcMar>
            <w:vAlign w:val="center"/>
          </w:tcPr>
          <w:p>
            <w:pPr>
              <w:jc w:val="center"/>
            </w:pPr>
            <w:r>
              <w:rPr>
                <w:b/>
                <w:sz w:val="17"/>
              </w:rPr>
              <w:t>Délai cible</w:t>
            </w:r>
          </w:p>
        </w:tc>
        <w:tc>
          <w:tcPr>
            <w:tcW w:type="dxa" w:w="4025"/>
            <w:shd w:fill="D9EAF7"/>
            <w:tcMar>
              <w:top w:w="70" w:type="dxa"/>
              <w:start w:w="80" w:type="dxa"/>
              <w:bottom w:w="70" w:type="dxa"/>
              <w:end w:w="80" w:type="dxa"/>
            </w:tcMar>
            <w:vAlign w:val="center"/>
          </w:tcPr>
          <w:p>
            <w:pPr>
              <w:jc w:val="center"/>
            </w:pPr>
            <w:r>
              <w:rPr>
                <w:b/>
                <w:sz w:val="17"/>
              </w:rPr>
              <w:t>Observation</w:t>
            </w:r>
          </w:p>
        </w:tc>
      </w:tr>
      <w:tr>
        <w:tc>
          <w:tcPr>
            <w:tcW w:type="dxa" w:w="3005"/>
            <w:tcMar>
              <w:top w:w="70" w:type="dxa"/>
              <w:start w:w="80" w:type="dxa"/>
              <w:bottom w:w="70" w:type="dxa"/>
              <w:end w:w="80" w:type="dxa"/>
            </w:tcMar>
            <w:vAlign w:val="center"/>
          </w:tcPr>
          <w:p>
            <w:pPr>
              <w:jc w:val="left"/>
            </w:pPr>
            <w:r>
              <w:rPr>
                <w:sz w:val="17"/>
              </w:rPr>
              <w:t>Affectation du dossier</w:t>
            </w:r>
          </w:p>
        </w:tc>
        <w:tc>
          <w:tcPr>
            <w:tcW w:type="dxa" w:w="2268"/>
            <w:tcMar>
              <w:top w:w="70" w:type="dxa"/>
              <w:start w:w="80" w:type="dxa"/>
              <w:bottom w:w="70" w:type="dxa"/>
              <w:end w:w="80" w:type="dxa"/>
            </w:tcMar>
            <w:vAlign w:val="center"/>
          </w:tcPr>
          <w:p>
            <w:pPr>
              <w:jc w:val="left"/>
            </w:pPr>
            <w:r>
              <w:rPr>
                <w:sz w:val="17"/>
              </w:rPr>
              <w:t>2 jours ouvrables</w:t>
            </w:r>
          </w:p>
        </w:tc>
        <w:tc>
          <w:tcPr>
            <w:tcW w:type="dxa" w:w="4025"/>
            <w:tcMar>
              <w:top w:w="70" w:type="dxa"/>
              <w:start w:w="80" w:type="dxa"/>
              <w:bottom w:w="70" w:type="dxa"/>
              <w:end w:w="80" w:type="dxa"/>
            </w:tcMar>
            <w:vAlign w:val="center"/>
          </w:tcPr>
          <w:p>
            <w:pPr>
              <w:jc w:val="left"/>
            </w:pPr>
            <w:r>
              <w:rPr>
                <w:sz w:val="17"/>
              </w:rPr>
              <w:t>À compter de la soumission recevable</w:t>
            </w:r>
          </w:p>
        </w:tc>
      </w:tr>
      <w:tr>
        <w:tc>
          <w:tcPr>
            <w:tcW w:type="dxa" w:w="3005"/>
            <w:tcMar>
              <w:top w:w="70" w:type="dxa"/>
              <w:start w:w="80" w:type="dxa"/>
              <w:bottom w:w="70" w:type="dxa"/>
              <w:end w:w="80" w:type="dxa"/>
            </w:tcMar>
            <w:vAlign w:val="center"/>
            <w:shd w:fill="F9FBFC"/>
          </w:tcPr>
          <w:p>
            <w:pPr>
              <w:jc w:val="left"/>
            </w:pPr>
            <w:r>
              <w:rPr>
                <w:sz w:val="17"/>
              </w:rPr>
              <w:t>Contrôle initial de complétude</w:t>
            </w:r>
          </w:p>
        </w:tc>
        <w:tc>
          <w:tcPr>
            <w:tcW w:type="dxa" w:w="2268"/>
            <w:tcMar>
              <w:top w:w="70" w:type="dxa"/>
              <w:start w:w="80" w:type="dxa"/>
              <w:bottom w:w="70" w:type="dxa"/>
              <w:end w:w="80" w:type="dxa"/>
            </w:tcMar>
            <w:vAlign w:val="center"/>
            <w:shd w:fill="F9FBFC"/>
          </w:tcPr>
          <w:p>
            <w:pPr>
              <w:jc w:val="left"/>
            </w:pPr>
            <w:r>
              <w:rPr>
                <w:sz w:val="17"/>
              </w:rPr>
              <w:t>3 jours ouvrables</w:t>
            </w:r>
          </w:p>
        </w:tc>
        <w:tc>
          <w:tcPr>
            <w:tcW w:type="dxa" w:w="4025"/>
            <w:tcMar>
              <w:top w:w="70" w:type="dxa"/>
              <w:start w:w="80" w:type="dxa"/>
              <w:bottom w:w="70" w:type="dxa"/>
              <w:end w:w="80" w:type="dxa"/>
            </w:tcMar>
            <w:vAlign w:val="center"/>
            <w:shd w:fill="F9FBFC"/>
          </w:tcPr>
          <w:p>
            <w:pPr>
              <w:jc w:val="left"/>
            </w:pPr>
            <w:r>
              <w:rPr>
                <w:sz w:val="17"/>
              </w:rPr>
              <w:t>Retour immédiat en cas d’élément bloquant</w:t>
            </w:r>
          </w:p>
        </w:tc>
      </w:tr>
      <w:tr>
        <w:tc>
          <w:tcPr>
            <w:tcW w:type="dxa" w:w="3005"/>
            <w:tcMar>
              <w:top w:w="70" w:type="dxa"/>
              <w:start w:w="80" w:type="dxa"/>
              <w:bottom w:w="70" w:type="dxa"/>
              <w:end w:w="80" w:type="dxa"/>
            </w:tcMar>
            <w:vAlign w:val="center"/>
          </w:tcPr>
          <w:p>
            <w:pPr>
              <w:jc w:val="left"/>
            </w:pPr>
            <w:r>
              <w:rPr>
                <w:sz w:val="17"/>
              </w:rPr>
              <w:t>Vérification documentaire standard</w:t>
            </w:r>
          </w:p>
        </w:tc>
        <w:tc>
          <w:tcPr>
            <w:tcW w:type="dxa" w:w="2268"/>
            <w:tcMar>
              <w:top w:w="70" w:type="dxa"/>
              <w:start w:w="80" w:type="dxa"/>
              <w:bottom w:w="70" w:type="dxa"/>
              <w:end w:w="80" w:type="dxa"/>
            </w:tcMar>
            <w:vAlign w:val="center"/>
          </w:tcPr>
          <w:p>
            <w:pPr>
              <w:jc w:val="left"/>
            </w:pPr>
            <w:r>
              <w:rPr>
                <w:sz w:val="17"/>
              </w:rPr>
              <w:t>10 jours ouvrables</w:t>
            </w:r>
          </w:p>
        </w:tc>
        <w:tc>
          <w:tcPr>
            <w:tcW w:type="dxa" w:w="4025"/>
            <w:tcMar>
              <w:top w:w="70" w:type="dxa"/>
              <w:start w:w="80" w:type="dxa"/>
              <w:bottom w:w="70" w:type="dxa"/>
              <w:end w:w="80" w:type="dxa"/>
            </w:tcMar>
            <w:vAlign w:val="center"/>
          </w:tcPr>
          <w:p>
            <w:pPr>
              <w:jc w:val="left"/>
            </w:pPr>
            <w:r>
              <w:rPr>
                <w:sz w:val="17"/>
              </w:rPr>
              <w:t>Hors attente d’une confirmation externe</w:t>
            </w:r>
          </w:p>
        </w:tc>
      </w:tr>
      <w:tr>
        <w:tc>
          <w:tcPr>
            <w:tcW w:type="dxa" w:w="3005"/>
            <w:tcMar>
              <w:top w:w="70" w:type="dxa"/>
              <w:start w:w="80" w:type="dxa"/>
              <w:bottom w:w="70" w:type="dxa"/>
              <w:end w:w="80" w:type="dxa"/>
            </w:tcMar>
            <w:vAlign w:val="center"/>
            <w:shd w:fill="F9FBFC"/>
          </w:tcPr>
          <w:p>
            <w:pPr>
              <w:jc w:val="left"/>
            </w:pPr>
            <w:r>
              <w:rPr>
                <w:sz w:val="17"/>
              </w:rPr>
              <w:t>Réponse à une demande de complément</w:t>
            </w:r>
          </w:p>
        </w:tc>
        <w:tc>
          <w:tcPr>
            <w:tcW w:type="dxa" w:w="2268"/>
            <w:tcMar>
              <w:top w:w="70" w:type="dxa"/>
              <w:start w:w="80" w:type="dxa"/>
              <w:bottom w:w="70" w:type="dxa"/>
              <w:end w:w="80" w:type="dxa"/>
            </w:tcMar>
            <w:vAlign w:val="center"/>
            <w:shd w:fill="F9FBFC"/>
          </w:tcPr>
          <w:p>
            <w:pPr>
              <w:jc w:val="left"/>
            </w:pPr>
            <w:r>
              <w:rPr>
                <w:sz w:val="17"/>
              </w:rPr>
              <w:t>10 jours ouvrables</w:t>
            </w:r>
          </w:p>
        </w:tc>
        <w:tc>
          <w:tcPr>
            <w:tcW w:type="dxa" w:w="4025"/>
            <w:tcMar>
              <w:top w:w="70" w:type="dxa"/>
              <w:start w:w="80" w:type="dxa"/>
              <w:bottom w:w="70" w:type="dxa"/>
              <w:end w:w="80" w:type="dxa"/>
            </w:tcMar>
            <w:vAlign w:val="center"/>
            <w:shd w:fill="F9FBFC"/>
          </w:tcPr>
          <w:p>
            <w:pPr>
              <w:jc w:val="left"/>
            </w:pPr>
            <w:r>
              <w:rPr>
                <w:sz w:val="17"/>
              </w:rPr>
              <w:t>Délai adaptable selon la complexité</w:t>
            </w:r>
          </w:p>
        </w:tc>
      </w:tr>
      <w:tr>
        <w:tc>
          <w:tcPr>
            <w:tcW w:type="dxa" w:w="3005"/>
            <w:tcMar>
              <w:top w:w="70" w:type="dxa"/>
              <w:start w:w="80" w:type="dxa"/>
              <w:bottom w:w="70" w:type="dxa"/>
              <w:end w:w="80" w:type="dxa"/>
            </w:tcMar>
            <w:vAlign w:val="center"/>
          </w:tcPr>
          <w:p>
            <w:pPr>
              <w:jc w:val="left"/>
            </w:pPr>
            <w:r>
              <w:rPr>
                <w:sz w:val="17"/>
              </w:rPr>
              <w:t>Analyse d’une réponse externe</w:t>
            </w:r>
          </w:p>
        </w:tc>
        <w:tc>
          <w:tcPr>
            <w:tcW w:type="dxa" w:w="2268"/>
            <w:tcMar>
              <w:top w:w="70" w:type="dxa"/>
              <w:start w:w="80" w:type="dxa"/>
              <w:bottom w:w="70" w:type="dxa"/>
              <w:end w:w="80" w:type="dxa"/>
            </w:tcMar>
            <w:vAlign w:val="center"/>
          </w:tcPr>
          <w:p>
            <w:pPr>
              <w:jc w:val="left"/>
            </w:pPr>
            <w:r>
              <w:rPr>
                <w:sz w:val="17"/>
              </w:rPr>
              <w:t>5 jours ouvrables</w:t>
            </w:r>
          </w:p>
        </w:tc>
        <w:tc>
          <w:tcPr>
            <w:tcW w:type="dxa" w:w="4025"/>
            <w:tcMar>
              <w:top w:w="70" w:type="dxa"/>
              <w:start w:w="80" w:type="dxa"/>
              <w:bottom w:w="70" w:type="dxa"/>
              <w:end w:w="80" w:type="dxa"/>
            </w:tcMar>
            <w:vAlign w:val="center"/>
          </w:tcPr>
          <w:p>
            <w:pPr>
              <w:jc w:val="left"/>
            </w:pPr>
            <w:r>
              <w:rPr>
                <w:sz w:val="17"/>
              </w:rPr>
              <w:t>À compter de la réception complète</w:t>
            </w:r>
          </w:p>
        </w:tc>
      </w:tr>
      <w:tr>
        <w:tc>
          <w:tcPr>
            <w:tcW w:type="dxa" w:w="3005"/>
            <w:tcMar>
              <w:top w:w="70" w:type="dxa"/>
              <w:start w:w="80" w:type="dxa"/>
              <w:bottom w:w="70" w:type="dxa"/>
              <w:end w:w="80" w:type="dxa"/>
            </w:tcMar>
            <w:vAlign w:val="center"/>
            <w:shd w:fill="F9FBFC"/>
          </w:tcPr>
          <w:p>
            <w:pPr>
              <w:jc w:val="left"/>
            </w:pPr>
            <w:r>
              <w:rPr>
                <w:sz w:val="17"/>
              </w:rPr>
              <w:t>Validation hiérarchisée</w:t>
            </w:r>
          </w:p>
        </w:tc>
        <w:tc>
          <w:tcPr>
            <w:tcW w:type="dxa" w:w="2268"/>
            <w:tcMar>
              <w:top w:w="70" w:type="dxa"/>
              <w:start w:w="80" w:type="dxa"/>
              <w:bottom w:w="70" w:type="dxa"/>
              <w:end w:w="80" w:type="dxa"/>
            </w:tcMar>
            <w:vAlign w:val="center"/>
            <w:shd w:fill="F9FBFC"/>
          </w:tcPr>
          <w:p>
            <w:pPr>
              <w:jc w:val="left"/>
            </w:pPr>
            <w:r>
              <w:rPr>
                <w:sz w:val="17"/>
              </w:rPr>
              <w:t>5 jours ouvrables</w:t>
            </w:r>
          </w:p>
        </w:tc>
        <w:tc>
          <w:tcPr>
            <w:tcW w:type="dxa" w:w="4025"/>
            <w:tcMar>
              <w:top w:w="70" w:type="dxa"/>
              <w:start w:w="80" w:type="dxa"/>
              <w:bottom w:w="70" w:type="dxa"/>
              <w:end w:w="80" w:type="dxa"/>
            </w:tcMar>
            <w:vAlign w:val="center"/>
            <w:shd w:fill="F9FBFC"/>
          </w:tcPr>
          <w:p>
            <w:pPr>
              <w:jc w:val="left"/>
            </w:pPr>
            <w:r>
              <w:rPr>
                <w:sz w:val="17"/>
              </w:rPr>
              <w:t>Après disponibilité du dossier complet</w:t>
            </w:r>
          </w:p>
        </w:tc>
      </w:tr>
      <w:tr>
        <w:tc>
          <w:tcPr>
            <w:tcW w:type="dxa" w:w="3005"/>
            <w:tcMar>
              <w:top w:w="70" w:type="dxa"/>
              <w:start w:w="80" w:type="dxa"/>
              <w:bottom w:w="70" w:type="dxa"/>
              <w:end w:w="80" w:type="dxa"/>
            </w:tcMar>
            <w:vAlign w:val="center"/>
          </w:tcPr>
          <w:p>
            <w:pPr>
              <w:jc w:val="left"/>
            </w:pPr>
            <w:r>
              <w:rPr>
                <w:sz w:val="17"/>
              </w:rPr>
              <w:t>Transfert vers l’intégration</w:t>
            </w:r>
          </w:p>
        </w:tc>
        <w:tc>
          <w:tcPr>
            <w:tcW w:type="dxa" w:w="2268"/>
            <w:tcMar>
              <w:top w:w="70" w:type="dxa"/>
              <w:start w:w="80" w:type="dxa"/>
              <w:bottom w:w="70" w:type="dxa"/>
              <w:end w:w="80" w:type="dxa"/>
            </w:tcMar>
            <w:vAlign w:val="center"/>
          </w:tcPr>
          <w:p>
            <w:pPr>
              <w:jc w:val="left"/>
            </w:pPr>
            <w:r>
              <w:rPr>
                <w:sz w:val="17"/>
              </w:rPr>
              <w:t>2 jours ouvrables</w:t>
            </w:r>
          </w:p>
        </w:tc>
        <w:tc>
          <w:tcPr>
            <w:tcW w:type="dxa" w:w="4025"/>
            <w:tcMar>
              <w:top w:w="70" w:type="dxa"/>
              <w:start w:w="80" w:type="dxa"/>
              <w:bottom w:w="70" w:type="dxa"/>
              <w:end w:w="80" w:type="dxa"/>
            </w:tcMar>
            <w:vAlign w:val="center"/>
          </w:tcPr>
          <w:p>
            <w:pPr>
              <w:jc w:val="left"/>
            </w:pPr>
            <w:r>
              <w:rPr>
                <w:sz w:val="17"/>
              </w:rPr>
              <w:t>Après validation définitive</w:t>
            </w:r>
          </w:p>
        </w:tc>
      </w:tr>
      <w:tr>
        <w:tc>
          <w:tcPr>
            <w:tcW w:type="dxa" w:w="3005"/>
            <w:tcMar>
              <w:top w:w="70" w:type="dxa"/>
              <w:start w:w="80" w:type="dxa"/>
              <w:bottom w:w="70" w:type="dxa"/>
              <w:end w:w="80" w:type="dxa"/>
            </w:tcMar>
            <w:vAlign w:val="center"/>
            <w:shd w:fill="F9FBFC"/>
          </w:tcPr>
          <w:p>
            <w:pPr>
              <w:jc w:val="left"/>
            </w:pPr>
            <w:r>
              <w:rPr>
                <w:sz w:val="17"/>
              </w:rPr>
              <w:t>Saisie d’une fiche papier</w:t>
            </w:r>
          </w:p>
        </w:tc>
        <w:tc>
          <w:tcPr>
            <w:tcW w:type="dxa" w:w="2268"/>
            <w:tcMar>
              <w:top w:w="70" w:type="dxa"/>
              <w:start w:w="80" w:type="dxa"/>
              <w:bottom w:w="70" w:type="dxa"/>
              <w:end w:w="80" w:type="dxa"/>
            </w:tcMar>
            <w:vAlign w:val="center"/>
            <w:shd w:fill="F9FBFC"/>
          </w:tcPr>
          <w:p>
            <w:pPr>
              <w:jc w:val="left"/>
            </w:pPr>
            <w:r>
              <w:rPr>
                <w:sz w:val="17"/>
              </w:rPr>
              <w:t>5 jours ouvrables maximum</w:t>
            </w:r>
          </w:p>
        </w:tc>
        <w:tc>
          <w:tcPr>
            <w:tcW w:type="dxa" w:w="4025"/>
            <w:tcMar>
              <w:top w:w="70" w:type="dxa"/>
              <w:start w:w="80" w:type="dxa"/>
              <w:bottom w:w="70" w:type="dxa"/>
              <w:end w:w="80" w:type="dxa"/>
            </w:tcMar>
            <w:vAlign w:val="center"/>
            <w:shd w:fill="F9FBFC"/>
          </w:tcPr>
          <w:p>
            <w:pPr>
              <w:jc w:val="left"/>
            </w:pPr>
            <w:r>
              <w:rPr>
                <w:sz w:val="17"/>
              </w:rPr>
              <w:t>Exigence RM-38 après la mission terrain</w:t>
            </w:r>
          </w:p>
        </w:tc>
      </w:tr>
    </w:tbl>
    <w:p/>
    <w:p>
      <w:pPr>
        <w:pStyle w:val="Titre1"/>
        <w:keepNext/>
      </w:pPr>
      <w:r>
        <w:t>11. TRAÇABILITÉ, VERSIONNEMENT ET CONFIDENTIALITÉ</w:t>
      </w:r>
    </w:p>
    <w:p>
      <w:pPr>
        <w:ind w:left="397" w:hanging="255"/>
        <w:jc w:val="both"/>
      </w:pPr>
      <w:r>
        <w:t>-  Chaque action produit un événement d’audit non modifiable : consultation, affectation, modification, validation, exportation, connexion et déconnexion (RM-31).</w:t>
      </w:r>
    </w:p>
    <w:p>
      <w:pPr>
        <w:ind w:left="397" w:hanging="255"/>
        <w:jc w:val="both"/>
      </w:pPr>
      <w:r>
        <w:t>-  Les anciennes valeurs, nouvelles valeurs, auteurs, dates et motifs sont conservés pour les entreprises, certifications et organismes (RM-40, RM-41 et RM-48).</w:t>
      </w:r>
    </w:p>
    <w:p>
      <w:pPr>
        <w:ind w:left="397" w:hanging="255"/>
        <w:jc w:val="both"/>
      </w:pPr>
      <w:r>
        <w:t>-  Aucune suppression définitive n’est autorisée ; les ressources sont archivées avec motif et durée de conservation (RM-32 et RM-47).</w:t>
      </w:r>
    </w:p>
    <w:p>
      <w:pPr>
        <w:ind w:left="397" w:hanging="255"/>
        <w:jc w:val="both"/>
      </w:pPr>
      <w:r>
        <w:t>-  Les pièces documentaires sont conservées dans un stockage privé avec contrôle d’accès, version, checksum et historique.</w:t>
      </w:r>
    </w:p>
    <w:p>
      <w:pPr>
        <w:ind w:left="397" w:hanging="255"/>
        <w:jc w:val="both"/>
      </w:pPr>
      <w:r>
        <w:t>-  Les exports requièrent une permission et un motif, et sont enregistrés dans le journal d’audit (RM-29).</w:t>
      </w:r>
    </w:p>
    <w:p>
      <w:pPr>
        <w:ind w:left="397" w:hanging="255"/>
        <w:jc w:val="both"/>
      </w:pPr>
      <w:r>
        <w:t>-  Toute diffusion externe ou publication est soumise à l’autorisation de l’autorité compétente (RM-46 et RM-50).</w:t>
      </w:r>
    </w:p>
    <w:p>
      <w:pPr>
        <w:pStyle w:val="Titre1"/>
        <w:keepNext/>
        <w:pageBreakBefore/>
      </w:pPr>
      <w:r>
        <w:t>12. ENREGISTREMENTS ET PREUVES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75"/>
        <w:gridCol w:w="3175"/>
        <w:gridCol w:w="3175"/>
      </w:tblGrid>
      <w:tr>
        <w:trPr>
          <w:tblHeader w:val="true"/>
        </w:trPr>
        <w:tc>
          <w:tcPr>
            <w:tcW w:type="dxa" w:w="2381"/>
            <w:shd w:fill="D9EAF7"/>
            <w:tcMar>
              <w:top w:w="70" w:type="dxa"/>
              <w:start w:w="80" w:type="dxa"/>
              <w:bottom w:w="70" w:type="dxa"/>
              <w:end w:w="80" w:type="dxa"/>
            </w:tcMar>
            <w:vAlign w:val="center"/>
          </w:tcPr>
          <w:p>
            <w:pPr>
              <w:jc w:val="center"/>
            </w:pPr>
            <w:r>
              <w:rPr>
                <w:b/>
                <w:sz w:val="16"/>
              </w:rPr>
              <w:t>Enregistrement</w:t>
            </w:r>
          </w:p>
        </w:tc>
        <w:tc>
          <w:tcPr>
            <w:tcW w:type="dxa" w:w="4762"/>
            <w:shd w:fill="D9EAF7"/>
            <w:tcMar>
              <w:top w:w="70" w:type="dxa"/>
              <w:start w:w="80" w:type="dxa"/>
              <w:bottom w:w="70" w:type="dxa"/>
              <w:end w:w="80" w:type="dxa"/>
            </w:tcMar>
            <w:vAlign w:val="center"/>
          </w:tcPr>
          <w:p>
            <w:pPr>
              <w:jc w:val="center"/>
            </w:pPr>
            <w:r>
              <w:rPr>
                <w:b/>
                <w:sz w:val="16"/>
              </w:rPr>
              <w:t>Contenu minimal</w:t>
            </w:r>
          </w:p>
        </w:tc>
        <w:tc>
          <w:tcPr>
            <w:tcW w:type="dxa" w:w="2154"/>
            <w:shd w:fill="D9EAF7"/>
            <w:tcMar>
              <w:top w:w="70" w:type="dxa"/>
              <w:start w:w="80" w:type="dxa"/>
              <w:bottom w:w="70" w:type="dxa"/>
              <w:end w:w="80" w:type="dxa"/>
            </w:tcMar>
            <w:vAlign w:val="center"/>
          </w:tcPr>
          <w:p>
            <w:pPr>
              <w:jc w:val="center"/>
            </w:pPr>
            <w:r>
              <w:rPr>
                <w:b/>
                <w:sz w:val="16"/>
              </w:rPr>
              <w:t>Responsable principal</w:t>
            </w:r>
          </w:p>
        </w:tc>
      </w:tr>
      <w:tr>
        <w:tc>
          <w:tcPr>
            <w:tcW w:type="dxa" w:w="2381"/>
            <w:tcMar>
              <w:top w:w="70" w:type="dxa"/>
              <w:start w:w="80" w:type="dxa"/>
              <w:bottom w:w="70" w:type="dxa"/>
              <w:end w:w="80" w:type="dxa"/>
            </w:tcMar>
            <w:vAlign w:val="center"/>
          </w:tcPr>
          <w:p>
            <w:pPr>
              <w:jc w:val="left"/>
            </w:pPr>
            <w:r>
              <w:rPr>
                <w:sz w:val="16"/>
              </w:rPr>
              <w:t>Dossier de vérification</w:t>
            </w:r>
          </w:p>
        </w:tc>
        <w:tc>
          <w:tcPr>
            <w:tcW w:type="dxa" w:w="4762"/>
            <w:tcMar>
              <w:top w:w="70" w:type="dxa"/>
              <w:start w:w="80" w:type="dxa"/>
              <w:bottom w:w="70" w:type="dxa"/>
              <w:end w:w="80" w:type="dxa"/>
            </w:tcMar>
            <w:vAlign w:val="center"/>
          </w:tcPr>
          <w:p>
            <w:pPr>
              <w:jc w:val="left"/>
            </w:pPr>
            <w:r>
              <w:rPr>
                <w:sz w:val="16"/>
              </w:rPr>
              <w:t>Fiche, révision, date d’ouverture, statut, priorité et synthèse</w:t>
            </w:r>
          </w:p>
        </w:tc>
        <w:tc>
          <w:tcPr>
            <w:tcW w:type="dxa" w:w="2154"/>
            <w:tcMar>
              <w:top w:w="70" w:type="dxa"/>
              <w:start w:w="80" w:type="dxa"/>
              <w:bottom w:w="70" w:type="dxa"/>
              <w:end w:w="80" w:type="dxa"/>
            </w:tcMar>
            <w:vAlign w:val="center"/>
          </w:tcPr>
          <w:p>
            <w:pPr>
              <w:jc w:val="left"/>
            </w:pPr>
            <w:r>
              <w:rPr>
                <w:sz w:val="16"/>
              </w:rPr>
              <w:t>Point focal / vérificateur</w:t>
            </w:r>
          </w:p>
        </w:tc>
      </w:tr>
      <w:tr>
        <w:tc>
          <w:tcPr>
            <w:tcW w:type="dxa" w:w="2381"/>
            <w:tcMar>
              <w:top w:w="70" w:type="dxa"/>
              <w:start w:w="80" w:type="dxa"/>
              <w:bottom w:w="70" w:type="dxa"/>
              <w:end w:w="80" w:type="dxa"/>
            </w:tcMar>
            <w:vAlign w:val="center"/>
            <w:shd w:fill="F9FBFC"/>
          </w:tcPr>
          <w:p>
            <w:pPr>
              <w:jc w:val="left"/>
            </w:pPr>
            <w:r>
              <w:rPr>
                <w:sz w:val="16"/>
              </w:rPr>
              <w:t>Affectation</w:t>
            </w:r>
          </w:p>
        </w:tc>
        <w:tc>
          <w:tcPr>
            <w:tcW w:type="dxa" w:w="4762"/>
            <w:tcMar>
              <w:top w:w="70" w:type="dxa"/>
              <w:start w:w="80" w:type="dxa"/>
              <w:bottom w:w="70" w:type="dxa"/>
              <w:end w:w="80" w:type="dxa"/>
            </w:tcMar>
            <w:vAlign w:val="center"/>
            <w:shd w:fill="F9FBFC"/>
          </w:tcPr>
          <w:p>
            <w:pPr>
              <w:jc w:val="left"/>
            </w:pPr>
            <w:r>
              <w:rPr>
                <w:sz w:val="16"/>
              </w:rPr>
              <w:t>Vérificateur, dates, échéance, auteur, motif et statut</w:t>
            </w:r>
          </w:p>
        </w:tc>
        <w:tc>
          <w:tcPr>
            <w:tcW w:type="dxa" w:w="2154"/>
            <w:tcMar>
              <w:top w:w="70" w:type="dxa"/>
              <w:start w:w="80" w:type="dxa"/>
              <w:bottom w:w="70" w:type="dxa"/>
              <w:end w:w="80" w:type="dxa"/>
            </w:tcMar>
            <w:vAlign w:val="center"/>
            <w:shd w:fill="F9FBFC"/>
          </w:tcPr>
          <w:p>
            <w:pPr>
              <w:jc w:val="left"/>
            </w:pPr>
            <w:r>
              <w:rPr>
                <w:sz w:val="16"/>
              </w:rPr>
              <w:t>Point focal</w:t>
            </w:r>
          </w:p>
        </w:tc>
      </w:tr>
      <w:tr>
        <w:tc>
          <w:tcPr>
            <w:tcW w:type="dxa" w:w="2381"/>
            <w:tcMar>
              <w:top w:w="70" w:type="dxa"/>
              <w:start w:w="80" w:type="dxa"/>
              <w:bottom w:w="70" w:type="dxa"/>
              <w:end w:w="80" w:type="dxa"/>
            </w:tcMar>
            <w:vAlign w:val="center"/>
          </w:tcPr>
          <w:p>
            <w:pPr>
              <w:jc w:val="left"/>
            </w:pPr>
            <w:r>
              <w:rPr>
                <w:sz w:val="16"/>
              </w:rPr>
              <w:t>Points de vérification</w:t>
            </w:r>
          </w:p>
        </w:tc>
        <w:tc>
          <w:tcPr>
            <w:tcW w:type="dxa" w:w="4762"/>
            <w:tcMar>
              <w:top w:w="70" w:type="dxa"/>
              <w:start w:w="80" w:type="dxa"/>
              <w:bottom w:w="70" w:type="dxa"/>
              <w:end w:w="80" w:type="dxa"/>
            </w:tcMar>
            <w:vAlign w:val="center"/>
          </w:tcPr>
          <w:p>
            <w:pPr>
              <w:jc w:val="left"/>
            </w:pPr>
            <w:r>
              <w:rPr>
                <w:sz w:val="16"/>
              </w:rPr>
              <w:t>Code, résultat, observation, date, preuve et auteur</w:t>
            </w:r>
          </w:p>
        </w:tc>
        <w:tc>
          <w:tcPr>
            <w:tcW w:type="dxa" w:w="2154"/>
            <w:tcMar>
              <w:top w:w="70" w:type="dxa"/>
              <w:start w:w="80" w:type="dxa"/>
              <w:bottom w:w="70" w:type="dxa"/>
              <w:end w:w="80" w:type="dxa"/>
            </w:tcMar>
            <w:vAlign w:val="center"/>
          </w:tcPr>
          <w:p>
            <w:pPr>
              <w:jc w:val="left"/>
            </w:pPr>
            <w:r>
              <w:rPr>
                <w:sz w:val="16"/>
              </w:rPr>
              <w:t>Vérificateur</w:t>
            </w:r>
          </w:p>
        </w:tc>
      </w:tr>
      <w:tr>
        <w:tc>
          <w:tcPr>
            <w:tcW w:type="dxa" w:w="2381"/>
            <w:tcMar>
              <w:top w:w="70" w:type="dxa"/>
              <w:start w:w="80" w:type="dxa"/>
              <w:bottom w:w="70" w:type="dxa"/>
              <w:end w:w="80" w:type="dxa"/>
            </w:tcMar>
            <w:vAlign w:val="center"/>
            <w:shd w:fill="F9FBFC"/>
          </w:tcPr>
          <w:p>
            <w:pPr>
              <w:jc w:val="left"/>
            </w:pPr>
            <w:r>
              <w:rPr>
                <w:sz w:val="16"/>
              </w:rPr>
              <w:t>Anomalies</w:t>
            </w:r>
          </w:p>
        </w:tc>
        <w:tc>
          <w:tcPr>
            <w:tcW w:type="dxa" w:w="4762"/>
            <w:tcMar>
              <w:top w:w="70" w:type="dxa"/>
              <w:start w:w="80" w:type="dxa"/>
              <w:bottom w:w="70" w:type="dxa"/>
              <w:end w:w="80" w:type="dxa"/>
            </w:tcMar>
            <w:vAlign w:val="center"/>
            <w:shd w:fill="F9FBFC"/>
          </w:tcPr>
          <w:p>
            <w:pPr>
              <w:jc w:val="left"/>
            </w:pPr>
            <w:r>
              <w:rPr>
                <w:sz w:val="16"/>
              </w:rPr>
              <w:t>Catégorie, gravité, description, résolution, escalade et dates</w:t>
            </w:r>
          </w:p>
        </w:tc>
        <w:tc>
          <w:tcPr>
            <w:tcW w:type="dxa" w:w="2154"/>
            <w:tcMar>
              <w:top w:w="70" w:type="dxa"/>
              <w:start w:w="80" w:type="dxa"/>
              <w:bottom w:w="70" w:type="dxa"/>
              <w:end w:w="80" w:type="dxa"/>
            </w:tcMar>
            <w:vAlign w:val="center"/>
            <w:shd w:fill="F9FBFC"/>
          </w:tcPr>
          <w:p>
            <w:pPr>
              <w:jc w:val="left"/>
            </w:pPr>
            <w:r>
              <w:rPr>
                <w:sz w:val="16"/>
              </w:rPr>
              <w:t>Vérificateur / superviseur</w:t>
            </w:r>
          </w:p>
        </w:tc>
      </w:tr>
      <w:tr>
        <w:tc>
          <w:tcPr>
            <w:tcW w:type="dxa" w:w="2381"/>
            <w:tcMar>
              <w:top w:w="70" w:type="dxa"/>
              <w:start w:w="80" w:type="dxa"/>
              <w:bottom w:w="70" w:type="dxa"/>
              <w:end w:w="80" w:type="dxa"/>
            </w:tcMar>
            <w:vAlign w:val="center"/>
          </w:tcPr>
          <w:p>
            <w:pPr>
              <w:jc w:val="left"/>
            </w:pPr>
            <w:r>
              <w:rPr>
                <w:sz w:val="16"/>
              </w:rPr>
              <w:t>Confirmation externe</w:t>
            </w:r>
          </w:p>
        </w:tc>
        <w:tc>
          <w:tcPr>
            <w:tcW w:type="dxa" w:w="4762"/>
            <w:tcMar>
              <w:top w:w="70" w:type="dxa"/>
              <w:start w:w="80" w:type="dxa"/>
              <w:bottom w:w="70" w:type="dxa"/>
              <w:end w:w="80" w:type="dxa"/>
            </w:tcMar>
            <w:vAlign w:val="center"/>
          </w:tcPr>
          <w:p>
            <w:pPr>
              <w:jc w:val="left"/>
            </w:pPr>
            <w:r>
              <w:rPr>
                <w:sz w:val="16"/>
              </w:rPr>
              <w:t>Destinataire, canal, dates, réponse, pièce et résultat</w:t>
            </w:r>
          </w:p>
        </w:tc>
        <w:tc>
          <w:tcPr>
            <w:tcW w:type="dxa" w:w="2154"/>
            <w:tcMar>
              <w:top w:w="70" w:type="dxa"/>
              <w:start w:w="80" w:type="dxa"/>
              <w:bottom w:w="70" w:type="dxa"/>
              <w:end w:w="80" w:type="dxa"/>
            </w:tcMar>
            <w:vAlign w:val="center"/>
          </w:tcPr>
          <w:p>
            <w:pPr>
              <w:jc w:val="left"/>
            </w:pPr>
            <w:r>
              <w:rPr>
                <w:sz w:val="16"/>
              </w:rPr>
              <w:t>Vérificateur</w:t>
            </w:r>
          </w:p>
        </w:tc>
      </w:tr>
      <w:tr>
        <w:tc>
          <w:tcPr>
            <w:tcW w:type="dxa" w:w="2381"/>
            <w:tcMar>
              <w:top w:w="70" w:type="dxa"/>
              <w:start w:w="80" w:type="dxa"/>
              <w:bottom w:w="70" w:type="dxa"/>
              <w:end w:w="80" w:type="dxa"/>
            </w:tcMar>
            <w:vAlign w:val="center"/>
            <w:shd w:fill="F9FBFC"/>
          </w:tcPr>
          <w:p>
            <w:pPr>
              <w:jc w:val="left"/>
            </w:pPr>
            <w:r>
              <w:rPr>
                <w:sz w:val="16"/>
              </w:rPr>
              <w:t>Contrôle FUCCS</w:t>
            </w:r>
          </w:p>
        </w:tc>
        <w:tc>
          <w:tcPr>
            <w:tcW w:type="dxa" w:w="4762"/>
            <w:tcMar>
              <w:top w:w="70" w:type="dxa"/>
              <w:start w:w="80" w:type="dxa"/>
              <w:bottom w:w="70" w:type="dxa"/>
              <w:end w:w="80" w:type="dxa"/>
            </w:tcMar>
            <w:vAlign w:val="center"/>
            <w:shd w:fill="F9FBFC"/>
          </w:tcPr>
          <w:p>
            <w:pPr>
              <w:jc w:val="left"/>
            </w:pPr>
            <w:r>
              <w:rPr>
                <w:sz w:val="16"/>
              </w:rPr>
              <w:t>Version de grille, notes, commentaires, preuves, score et constats</w:t>
            </w:r>
          </w:p>
        </w:tc>
        <w:tc>
          <w:tcPr>
            <w:tcW w:type="dxa" w:w="2154"/>
            <w:tcMar>
              <w:top w:w="70" w:type="dxa"/>
              <w:start w:w="80" w:type="dxa"/>
              <w:bottom w:w="70" w:type="dxa"/>
              <w:end w:w="80" w:type="dxa"/>
            </w:tcMar>
            <w:vAlign w:val="center"/>
            <w:shd w:fill="F9FBFC"/>
          </w:tcPr>
          <w:p>
            <w:pPr>
              <w:jc w:val="left"/>
            </w:pPr>
            <w:r>
              <w:rPr>
                <w:sz w:val="16"/>
              </w:rPr>
              <w:t>Contrôleur</w:t>
            </w:r>
          </w:p>
        </w:tc>
      </w:tr>
      <w:tr>
        <w:tc>
          <w:tcPr>
            <w:tcW w:type="dxa" w:w="2381"/>
            <w:tcMar>
              <w:top w:w="70" w:type="dxa"/>
              <w:start w:w="80" w:type="dxa"/>
              <w:bottom w:w="70" w:type="dxa"/>
              <w:end w:w="80" w:type="dxa"/>
            </w:tcMar>
            <w:vAlign w:val="center"/>
          </w:tcPr>
          <w:p>
            <w:pPr>
              <w:jc w:val="left"/>
            </w:pPr>
            <w:r>
              <w:rPr>
                <w:sz w:val="16"/>
              </w:rPr>
              <w:t>Validation</w:t>
            </w:r>
          </w:p>
        </w:tc>
        <w:tc>
          <w:tcPr>
            <w:tcW w:type="dxa" w:w="4762"/>
            <w:tcMar>
              <w:top w:w="70" w:type="dxa"/>
              <w:start w:w="80" w:type="dxa"/>
              <w:bottom w:w="70" w:type="dxa"/>
              <w:end w:w="80" w:type="dxa"/>
            </w:tcMar>
            <w:vAlign w:val="center"/>
          </w:tcPr>
          <w:p>
            <w:pPr>
              <w:jc w:val="left"/>
            </w:pPr>
            <w:r>
              <w:rPr>
                <w:sz w:val="16"/>
              </w:rPr>
              <w:t>Niveau, décision, réserves, justification, date et validateur</w:t>
            </w:r>
          </w:p>
        </w:tc>
        <w:tc>
          <w:tcPr>
            <w:tcW w:type="dxa" w:w="2154"/>
            <w:tcMar>
              <w:top w:w="70" w:type="dxa"/>
              <w:start w:w="80" w:type="dxa"/>
              <w:bottom w:w="70" w:type="dxa"/>
              <w:end w:w="80" w:type="dxa"/>
            </w:tcMar>
            <w:vAlign w:val="center"/>
          </w:tcPr>
          <w:p>
            <w:pPr>
              <w:jc w:val="left"/>
            </w:pPr>
            <w:r>
              <w:rPr>
                <w:sz w:val="16"/>
              </w:rPr>
              <w:t>Autorité habilitée</w:t>
            </w:r>
          </w:p>
        </w:tc>
      </w:tr>
      <w:tr>
        <w:tc>
          <w:tcPr>
            <w:tcW w:type="dxa" w:w="2381"/>
            <w:tcMar>
              <w:top w:w="70" w:type="dxa"/>
              <w:start w:w="80" w:type="dxa"/>
              <w:bottom w:w="70" w:type="dxa"/>
              <w:end w:w="80" w:type="dxa"/>
            </w:tcMar>
            <w:vAlign w:val="center"/>
            <w:shd w:fill="F9FBFC"/>
          </w:tcPr>
          <w:p>
            <w:pPr>
              <w:jc w:val="left"/>
            </w:pPr>
            <w:r>
              <w:rPr>
                <w:sz w:val="16"/>
              </w:rPr>
              <w:t>Correction</w:t>
            </w:r>
          </w:p>
        </w:tc>
        <w:tc>
          <w:tcPr>
            <w:tcW w:type="dxa" w:w="4762"/>
            <w:tcMar>
              <w:top w:w="70" w:type="dxa"/>
              <w:start w:w="80" w:type="dxa"/>
              <w:bottom w:w="70" w:type="dxa"/>
              <w:end w:w="80" w:type="dxa"/>
            </w:tcMar>
            <w:vAlign w:val="center"/>
            <w:shd w:fill="F9FBFC"/>
          </w:tcPr>
          <w:p>
            <w:pPr>
              <w:jc w:val="left"/>
            </w:pPr>
            <w:r>
              <w:rPr>
                <w:sz w:val="16"/>
              </w:rPr>
              <w:t>Motif, instruction, échéance, réponse et date de resoumission</w:t>
            </w:r>
          </w:p>
        </w:tc>
        <w:tc>
          <w:tcPr>
            <w:tcW w:type="dxa" w:w="2154"/>
            <w:tcMar>
              <w:top w:w="70" w:type="dxa"/>
              <w:start w:w="80" w:type="dxa"/>
              <w:bottom w:w="70" w:type="dxa"/>
              <w:end w:w="80" w:type="dxa"/>
            </w:tcMar>
            <w:vAlign w:val="center"/>
            <w:shd w:fill="F9FBFC"/>
          </w:tcPr>
          <w:p>
            <w:pPr>
              <w:jc w:val="left"/>
            </w:pPr>
            <w:r>
              <w:rPr>
                <w:sz w:val="16"/>
              </w:rPr>
              <w:t>Demandeur / agent</w:t>
            </w:r>
          </w:p>
        </w:tc>
      </w:tr>
      <w:tr>
        <w:tc>
          <w:tcPr>
            <w:tcW w:type="dxa" w:w="2381"/>
            <w:tcMar>
              <w:top w:w="70" w:type="dxa"/>
              <w:start w:w="80" w:type="dxa"/>
              <w:bottom w:w="70" w:type="dxa"/>
              <w:end w:w="80" w:type="dxa"/>
            </w:tcMar>
            <w:vAlign w:val="center"/>
          </w:tcPr>
          <w:p>
            <w:pPr>
              <w:jc w:val="left"/>
            </w:pPr>
            <w:r>
              <w:rPr>
                <w:sz w:val="16"/>
              </w:rPr>
              <w:t>Événement d’audit</w:t>
            </w:r>
          </w:p>
        </w:tc>
        <w:tc>
          <w:tcPr>
            <w:tcW w:type="dxa" w:w="4762"/>
            <w:tcMar>
              <w:top w:w="70" w:type="dxa"/>
              <w:start w:w="80" w:type="dxa"/>
              <w:bottom w:w="70" w:type="dxa"/>
              <w:end w:w="80" w:type="dxa"/>
            </w:tcMar>
            <w:vAlign w:val="center"/>
          </w:tcPr>
          <w:p>
            <w:pPr>
              <w:jc w:val="left"/>
            </w:pPr>
            <w:r>
              <w:rPr>
                <w:sz w:val="16"/>
              </w:rPr>
              <w:t>Action, ressource, utilisateur, date, contexte et valeurs avant/après</w:t>
            </w:r>
          </w:p>
        </w:tc>
        <w:tc>
          <w:tcPr>
            <w:tcW w:type="dxa" w:w="2154"/>
            <w:tcMar>
              <w:top w:w="70" w:type="dxa"/>
              <w:start w:w="80" w:type="dxa"/>
              <w:bottom w:w="70" w:type="dxa"/>
              <w:end w:w="80" w:type="dxa"/>
            </w:tcMar>
            <w:vAlign w:val="center"/>
          </w:tcPr>
          <w:p>
            <w:pPr>
              <w:jc w:val="left"/>
            </w:pPr>
            <w:r>
              <w:rPr>
                <w:sz w:val="16"/>
              </w:rPr>
              <w:t>Système</w:t>
            </w:r>
          </w:p>
        </w:tc>
      </w:tr>
    </w:tbl>
    <w:p/>
    <w:p>
      <w:pPr>
        <w:pStyle w:val="Titre1"/>
        <w:keepNext/>
      </w:pPr>
      <w:r>
        <w:t>13. INDICATEURS DE PERFORMANCE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62"/>
        <w:gridCol w:w="4762"/>
      </w:tblGrid>
      <w:tr>
        <w:trPr>
          <w:tblHeader w:val="true"/>
        </w:trPr>
        <w:tc>
          <w:tcPr>
            <w:tcW w:type="dxa" w:w="6236"/>
            <w:shd w:fill="D9EAF7"/>
            <w:tcMar>
              <w:top w:w="70" w:type="dxa"/>
              <w:start w:w="80" w:type="dxa"/>
              <w:bottom w:w="70" w:type="dxa"/>
              <w:end w:w="80" w:type="dxa"/>
            </w:tcMar>
            <w:vAlign w:val="center"/>
          </w:tcPr>
          <w:p>
            <w:pPr>
              <w:jc w:val="center"/>
            </w:pPr>
            <w:r>
              <w:rPr>
                <w:b/>
                <w:sz w:val="18"/>
              </w:rPr>
              <w:t>Indicateur</w:t>
            </w:r>
          </w:p>
        </w:tc>
        <w:tc>
          <w:tcPr>
            <w:tcW w:type="dxa" w:w="3061"/>
            <w:shd w:fill="D9EAF7"/>
            <w:tcMar>
              <w:top w:w="70" w:type="dxa"/>
              <w:start w:w="80" w:type="dxa"/>
              <w:bottom w:w="70" w:type="dxa"/>
              <w:end w:w="80" w:type="dxa"/>
            </w:tcMar>
            <w:vAlign w:val="center"/>
          </w:tcPr>
          <w:p>
            <w:pPr>
              <w:jc w:val="center"/>
            </w:pPr>
            <w:r>
              <w:rPr>
                <w:b/>
                <w:sz w:val="18"/>
              </w:rPr>
              <w:t>Objectif initial</w:t>
            </w:r>
          </w:p>
        </w:tc>
      </w:tr>
      <w:tr>
        <w:tc>
          <w:tcPr>
            <w:tcW w:type="dxa" w:w="6236"/>
            <w:tcMar>
              <w:top w:w="70" w:type="dxa"/>
              <w:start w:w="80" w:type="dxa"/>
              <w:bottom w:w="70" w:type="dxa"/>
              <w:end w:w="80" w:type="dxa"/>
            </w:tcMar>
            <w:vAlign w:val="center"/>
          </w:tcPr>
          <w:p>
            <w:pPr>
              <w:jc w:val="left"/>
            </w:pPr>
            <w:r>
              <w:rPr>
                <w:sz w:val="18"/>
              </w:rPr>
              <w:t>Dossiers affectés dans le délai cible</w:t>
            </w:r>
          </w:p>
        </w:tc>
        <w:tc>
          <w:tcPr>
            <w:tcW w:type="dxa" w:w="3061"/>
            <w:tcMar>
              <w:top w:w="70" w:type="dxa"/>
              <w:start w:w="80" w:type="dxa"/>
              <w:bottom w:w="70" w:type="dxa"/>
              <w:end w:w="80" w:type="dxa"/>
            </w:tcMar>
            <w:vAlign w:val="center"/>
          </w:tcPr>
          <w:p>
            <w:pPr>
              <w:jc w:val="left"/>
            </w:pPr>
            <w:r>
              <w:rPr>
                <w:sz w:val="18"/>
              </w:rPr>
              <w:t>≥ 95 %</w:t>
            </w:r>
          </w:p>
        </w:tc>
      </w:tr>
      <w:tr>
        <w:tc>
          <w:tcPr>
            <w:tcW w:type="dxa" w:w="6236"/>
            <w:tcMar>
              <w:top w:w="70" w:type="dxa"/>
              <w:start w:w="80" w:type="dxa"/>
              <w:bottom w:w="70" w:type="dxa"/>
              <w:end w:w="80" w:type="dxa"/>
            </w:tcMar>
            <w:vAlign w:val="center"/>
            <w:shd w:fill="F9FBFC"/>
          </w:tcPr>
          <w:p>
            <w:pPr>
              <w:jc w:val="left"/>
            </w:pPr>
            <w:r>
              <w:rPr>
                <w:sz w:val="18"/>
              </w:rPr>
              <w:t>Dossiers vérifiés avec preuves complètes</w:t>
            </w:r>
          </w:p>
        </w:tc>
        <w:tc>
          <w:tcPr>
            <w:tcW w:type="dxa" w:w="3061"/>
            <w:tcMar>
              <w:top w:w="70" w:type="dxa"/>
              <w:start w:w="80" w:type="dxa"/>
              <w:bottom w:w="70" w:type="dxa"/>
              <w:end w:w="80" w:type="dxa"/>
            </w:tcMar>
            <w:vAlign w:val="center"/>
            <w:shd w:fill="F9FBFC"/>
          </w:tcPr>
          <w:p>
            <w:pPr>
              <w:jc w:val="left"/>
            </w:pPr>
            <w:r>
              <w:rPr>
                <w:sz w:val="18"/>
              </w:rPr>
              <w:t>≥ 95 %</w:t>
            </w:r>
          </w:p>
        </w:tc>
      </w:tr>
      <w:tr>
        <w:tc>
          <w:tcPr>
            <w:tcW w:type="dxa" w:w="6236"/>
            <w:tcMar>
              <w:top w:w="70" w:type="dxa"/>
              <w:start w:w="80" w:type="dxa"/>
              <w:bottom w:w="70" w:type="dxa"/>
              <w:end w:w="80" w:type="dxa"/>
            </w:tcMar>
            <w:vAlign w:val="center"/>
          </w:tcPr>
          <w:p>
            <w:pPr>
              <w:jc w:val="left"/>
            </w:pPr>
            <w:r>
              <w:rPr>
                <w:sz w:val="18"/>
              </w:rPr>
              <w:t>Certifications dont l’authenticité ou la source est vérifiée</w:t>
            </w:r>
          </w:p>
        </w:tc>
        <w:tc>
          <w:tcPr>
            <w:tcW w:type="dxa" w:w="3061"/>
            <w:tcMar>
              <w:top w:w="70" w:type="dxa"/>
              <w:start w:w="80" w:type="dxa"/>
              <w:bottom w:w="70" w:type="dxa"/>
              <w:end w:w="80" w:type="dxa"/>
            </w:tcMar>
            <w:vAlign w:val="center"/>
          </w:tcPr>
          <w:p>
            <w:pPr>
              <w:jc w:val="left"/>
            </w:pPr>
            <w:r>
              <w:rPr>
                <w:sz w:val="18"/>
              </w:rPr>
              <w:t>100 % des dossiers validés</w:t>
            </w:r>
          </w:p>
        </w:tc>
      </w:tr>
      <w:tr>
        <w:tc>
          <w:tcPr>
            <w:tcW w:type="dxa" w:w="6236"/>
            <w:tcMar>
              <w:top w:w="70" w:type="dxa"/>
              <w:start w:w="80" w:type="dxa"/>
              <w:bottom w:w="70" w:type="dxa"/>
              <w:end w:w="80" w:type="dxa"/>
            </w:tcMar>
            <w:vAlign w:val="center"/>
            <w:shd w:fill="F9FBFC"/>
          </w:tcPr>
          <w:p>
            <w:pPr>
              <w:jc w:val="left"/>
            </w:pPr>
            <w:r>
              <w:rPr>
                <w:sz w:val="18"/>
              </w:rPr>
              <w:t>Doublons non résolus avant validation définitive</w:t>
            </w:r>
          </w:p>
        </w:tc>
        <w:tc>
          <w:tcPr>
            <w:tcW w:type="dxa" w:w="3061"/>
            <w:tcMar>
              <w:top w:w="70" w:type="dxa"/>
              <w:start w:w="80" w:type="dxa"/>
              <w:bottom w:w="70" w:type="dxa"/>
              <w:end w:w="80" w:type="dxa"/>
            </w:tcMar>
            <w:vAlign w:val="center"/>
            <w:shd w:fill="F9FBFC"/>
          </w:tcPr>
          <w:p>
            <w:pPr>
              <w:jc w:val="left"/>
            </w:pPr>
            <w:r>
              <w:rPr>
                <w:sz w:val="18"/>
              </w:rPr>
              <w:t>0</w:t>
            </w:r>
          </w:p>
        </w:tc>
      </w:tr>
      <w:tr>
        <w:tc>
          <w:tcPr>
            <w:tcW w:type="dxa" w:w="6236"/>
            <w:tcMar>
              <w:top w:w="70" w:type="dxa"/>
              <w:start w:w="80" w:type="dxa"/>
              <w:bottom w:w="70" w:type="dxa"/>
              <w:end w:w="80" w:type="dxa"/>
            </w:tcMar>
            <w:vAlign w:val="center"/>
          </w:tcPr>
          <w:p>
            <w:pPr>
              <w:jc w:val="left"/>
            </w:pPr>
            <w:r>
              <w:rPr>
                <w:sz w:val="18"/>
              </w:rPr>
              <w:t>Incohérences de dates acceptées</w:t>
            </w:r>
          </w:p>
        </w:tc>
        <w:tc>
          <w:tcPr>
            <w:tcW w:type="dxa" w:w="3061"/>
            <w:tcMar>
              <w:top w:w="70" w:type="dxa"/>
              <w:start w:w="80" w:type="dxa"/>
              <w:bottom w:w="70" w:type="dxa"/>
              <w:end w:w="80" w:type="dxa"/>
            </w:tcMar>
            <w:vAlign w:val="center"/>
          </w:tcPr>
          <w:p>
            <w:pPr>
              <w:jc w:val="left"/>
            </w:pPr>
            <w:r>
              <w:rPr>
                <w:sz w:val="18"/>
              </w:rPr>
              <w:t>0</w:t>
            </w:r>
          </w:p>
        </w:tc>
      </w:tr>
      <w:tr>
        <w:tc>
          <w:tcPr>
            <w:tcW w:type="dxa" w:w="6236"/>
            <w:tcMar>
              <w:top w:w="70" w:type="dxa"/>
              <w:start w:w="80" w:type="dxa"/>
              <w:bottom w:w="70" w:type="dxa"/>
              <w:end w:w="80" w:type="dxa"/>
            </w:tcMar>
            <w:vAlign w:val="center"/>
            <w:shd w:fill="F9FBFC"/>
          </w:tcPr>
          <w:p>
            <w:pPr>
              <w:jc w:val="left"/>
            </w:pPr>
            <w:r>
              <w:rPr>
                <w:sz w:val="18"/>
              </w:rPr>
              <w:t>Décisions comportant une justification et une trace d’audit</w:t>
            </w:r>
          </w:p>
        </w:tc>
        <w:tc>
          <w:tcPr>
            <w:tcW w:type="dxa" w:w="3061"/>
            <w:tcMar>
              <w:top w:w="70" w:type="dxa"/>
              <w:start w:w="80" w:type="dxa"/>
              <w:bottom w:w="70" w:type="dxa"/>
              <w:end w:w="80" w:type="dxa"/>
            </w:tcMar>
            <w:vAlign w:val="center"/>
            <w:shd w:fill="F9FBFC"/>
          </w:tcPr>
          <w:p>
            <w:pPr>
              <w:jc w:val="left"/>
            </w:pPr>
            <w:r>
              <w:rPr>
                <w:sz w:val="18"/>
              </w:rPr>
              <w:t>100 %</w:t>
            </w:r>
          </w:p>
        </w:tc>
      </w:tr>
      <w:tr>
        <w:tc>
          <w:tcPr>
            <w:tcW w:type="dxa" w:w="6236"/>
            <w:tcMar>
              <w:top w:w="70" w:type="dxa"/>
              <w:start w:w="80" w:type="dxa"/>
              <w:bottom w:w="70" w:type="dxa"/>
              <w:end w:w="80" w:type="dxa"/>
            </w:tcMar>
            <w:vAlign w:val="center"/>
          </w:tcPr>
          <w:p>
            <w:pPr>
              <w:jc w:val="left"/>
            </w:pPr>
            <w:r>
              <w:rPr>
                <w:sz w:val="18"/>
              </w:rPr>
              <w:t>Dossiers retournés pour information obligatoire manquante</w:t>
            </w:r>
          </w:p>
        </w:tc>
        <w:tc>
          <w:tcPr>
            <w:tcW w:type="dxa" w:w="3061"/>
            <w:tcMar>
              <w:top w:w="70" w:type="dxa"/>
              <w:start w:w="80" w:type="dxa"/>
              <w:bottom w:w="70" w:type="dxa"/>
              <w:end w:w="80" w:type="dxa"/>
            </w:tcMar>
            <w:vAlign w:val="center"/>
          </w:tcPr>
          <w:p>
            <w:pPr>
              <w:jc w:val="left"/>
            </w:pPr>
            <w:r>
              <w:rPr>
                <w:sz w:val="18"/>
              </w:rPr>
              <w:t>Tendance décroissante</w:t>
            </w:r>
          </w:p>
        </w:tc>
      </w:tr>
      <w:tr>
        <w:tc>
          <w:tcPr>
            <w:tcW w:type="dxa" w:w="6236"/>
            <w:tcMar>
              <w:top w:w="70" w:type="dxa"/>
              <w:start w:w="80" w:type="dxa"/>
              <w:bottom w:w="70" w:type="dxa"/>
              <w:end w:w="80" w:type="dxa"/>
            </w:tcMar>
            <w:vAlign w:val="center"/>
            <w:shd w:fill="F9FBFC"/>
          </w:tcPr>
          <w:p>
            <w:pPr>
              <w:jc w:val="left"/>
            </w:pPr>
            <w:r>
              <w:rPr>
                <w:sz w:val="18"/>
              </w:rPr>
              <w:t>Délai moyen entre soumission et validation définitive</w:t>
            </w:r>
          </w:p>
        </w:tc>
        <w:tc>
          <w:tcPr>
            <w:tcW w:type="dxa" w:w="3061"/>
            <w:tcMar>
              <w:top w:w="70" w:type="dxa"/>
              <w:start w:w="80" w:type="dxa"/>
              <w:bottom w:w="70" w:type="dxa"/>
              <w:end w:w="80" w:type="dxa"/>
            </w:tcMar>
            <w:vAlign w:val="center"/>
            <w:shd w:fill="F9FBFC"/>
          </w:tcPr>
          <w:p>
            <w:pPr>
              <w:jc w:val="left"/>
            </w:pPr>
            <w:r>
              <w:rPr>
                <w:sz w:val="18"/>
              </w:rPr>
              <w:t>À fixer par la HAUQE</w:t>
            </w:r>
          </w:p>
        </w:tc>
      </w:tr>
      <w:tr>
        <w:tc>
          <w:tcPr>
            <w:tcW w:type="dxa" w:w="6236"/>
            <w:tcMar>
              <w:top w:w="70" w:type="dxa"/>
              <w:start w:w="80" w:type="dxa"/>
              <w:bottom w:w="70" w:type="dxa"/>
              <w:end w:w="80" w:type="dxa"/>
            </w:tcMar>
            <w:vAlign w:val="center"/>
          </w:tcPr>
          <w:p>
            <w:pPr>
              <w:jc w:val="left"/>
            </w:pPr>
            <w:r>
              <w:rPr>
                <w:sz w:val="18"/>
              </w:rPr>
              <w:t>Réserves échues non traitées</w:t>
            </w:r>
          </w:p>
        </w:tc>
        <w:tc>
          <w:tcPr>
            <w:tcW w:type="dxa" w:w="3061"/>
            <w:tcMar>
              <w:top w:w="70" w:type="dxa"/>
              <w:start w:w="80" w:type="dxa"/>
              <w:bottom w:w="70" w:type="dxa"/>
              <w:end w:w="80" w:type="dxa"/>
            </w:tcMar>
            <w:vAlign w:val="center"/>
          </w:tcPr>
          <w:p>
            <w:pPr>
              <w:jc w:val="left"/>
            </w:pPr>
            <w:r>
              <w:rPr>
                <w:sz w:val="18"/>
              </w:rPr>
              <w:t>0</w:t>
            </w:r>
          </w:p>
        </w:tc>
      </w:tr>
    </w:tbl>
    <w:p/>
    <w:p>
      <w:pPr>
        <w:pStyle w:val="Titre1"/>
        <w:keepNext/>
        <w:pageBreakBefore/>
      </w:pPr>
      <w:r>
        <w:t>14. MATRICE RACI</w:t>
      </w:r>
    </w:p>
    <w:p>
      <w:pPr>
        <w:jc w:val="both"/>
      </w:pPr>
      <w:r>
        <w:rPr>
          <w:i w:val="0"/>
        </w:rPr>
        <w:t>R = Réalise ; A = Approuve / rend compte ; C = Consulté ; I = Informé.</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61"/>
        <w:gridCol w:w="1361"/>
        <w:gridCol w:w="1361"/>
        <w:gridCol w:w="1361"/>
        <w:gridCol w:w="1361"/>
        <w:gridCol w:w="1361"/>
        <w:gridCol w:w="1361"/>
      </w:tblGrid>
      <w:tr>
        <w:trPr>
          <w:tblHeader w:val="true"/>
        </w:trPr>
        <w:tc>
          <w:tcPr>
            <w:tcW w:type="dxa" w:w="2381"/>
            <w:shd w:fill="D9EAF7"/>
            <w:tcMar>
              <w:top w:w="70" w:type="dxa"/>
              <w:start w:w="80" w:type="dxa"/>
              <w:bottom w:w="70" w:type="dxa"/>
              <w:end w:w="80" w:type="dxa"/>
            </w:tcMar>
            <w:vAlign w:val="center"/>
          </w:tcPr>
          <w:p>
            <w:pPr>
              <w:jc w:val="center"/>
            </w:pPr>
            <w:r>
              <w:rPr>
                <w:b/>
                <w:sz w:val="15"/>
              </w:rPr>
              <w:t>Activité</w:t>
            </w:r>
          </w:p>
        </w:tc>
        <w:tc>
          <w:tcPr>
            <w:tcW w:type="dxa" w:w="1361"/>
            <w:shd w:fill="D9EAF7"/>
            <w:tcMar>
              <w:top w:w="70" w:type="dxa"/>
              <w:start w:w="80" w:type="dxa"/>
              <w:bottom w:w="70" w:type="dxa"/>
              <w:end w:w="80" w:type="dxa"/>
            </w:tcMar>
            <w:vAlign w:val="center"/>
          </w:tcPr>
          <w:p>
            <w:pPr>
              <w:jc w:val="center"/>
            </w:pPr>
            <w:r>
              <w:rPr>
                <w:b/>
                <w:sz w:val="15"/>
              </w:rPr>
              <w:t>Direction technique</w:t>
            </w:r>
          </w:p>
        </w:tc>
        <w:tc>
          <w:tcPr>
            <w:tcW w:type="dxa" w:w="1247"/>
            <w:shd w:fill="D9EAF7"/>
            <w:tcMar>
              <w:top w:w="70" w:type="dxa"/>
              <w:start w:w="80" w:type="dxa"/>
              <w:bottom w:w="70" w:type="dxa"/>
              <w:end w:w="80" w:type="dxa"/>
            </w:tcMar>
            <w:vAlign w:val="center"/>
          </w:tcPr>
          <w:p>
            <w:pPr>
              <w:jc w:val="center"/>
            </w:pPr>
            <w:r>
              <w:rPr>
                <w:b/>
                <w:sz w:val="15"/>
              </w:rPr>
              <w:t>Point focal</w:t>
            </w:r>
          </w:p>
        </w:tc>
        <w:tc>
          <w:tcPr>
            <w:tcW w:type="dxa" w:w="1247"/>
            <w:shd w:fill="D9EAF7"/>
            <w:tcMar>
              <w:top w:w="70" w:type="dxa"/>
              <w:start w:w="80" w:type="dxa"/>
              <w:bottom w:w="70" w:type="dxa"/>
              <w:end w:w="80" w:type="dxa"/>
            </w:tcMar>
            <w:vAlign w:val="center"/>
          </w:tcPr>
          <w:p>
            <w:pPr>
              <w:jc w:val="center"/>
            </w:pPr>
            <w:r>
              <w:rPr>
                <w:b/>
                <w:sz w:val="15"/>
              </w:rPr>
              <w:t>Vérificateur</w:t>
            </w:r>
          </w:p>
        </w:tc>
        <w:tc>
          <w:tcPr>
            <w:tcW w:type="dxa" w:w="1361"/>
            <w:shd w:fill="D9EAF7"/>
            <w:tcMar>
              <w:top w:w="70" w:type="dxa"/>
              <w:start w:w="80" w:type="dxa"/>
              <w:bottom w:w="70" w:type="dxa"/>
              <w:end w:w="80" w:type="dxa"/>
            </w:tcMar>
            <w:vAlign w:val="center"/>
          </w:tcPr>
          <w:p>
            <w:pPr>
              <w:jc w:val="center"/>
            </w:pPr>
            <w:r>
              <w:rPr>
                <w:b/>
                <w:sz w:val="15"/>
              </w:rPr>
              <w:t>Contrôleur FUCCS</w:t>
            </w:r>
          </w:p>
        </w:tc>
        <w:tc>
          <w:tcPr>
            <w:tcW w:type="dxa" w:w="1191"/>
            <w:shd w:fill="D9EAF7"/>
            <w:tcMar>
              <w:top w:w="70" w:type="dxa"/>
              <w:start w:w="80" w:type="dxa"/>
              <w:bottom w:w="70" w:type="dxa"/>
              <w:end w:w="80" w:type="dxa"/>
            </w:tcMar>
            <w:vAlign w:val="center"/>
          </w:tcPr>
          <w:p>
            <w:pPr>
              <w:jc w:val="center"/>
            </w:pPr>
            <w:r>
              <w:rPr>
                <w:b/>
                <w:sz w:val="15"/>
              </w:rPr>
              <w:t>Admin. BNEC</w:t>
            </w:r>
          </w:p>
        </w:tc>
        <w:tc>
          <w:tcPr>
            <w:tcW w:type="dxa" w:w="1417"/>
            <w:shd w:fill="D9EAF7"/>
            <w:tcMar>
              <w:top w:w="70" w:type="dxa"/>
              <w:start w:w="80" w:type="dxa"/>
              <w:bottom w:w="70" w:type="dxa"/>
              <w:end w:w="80" w:type="dxa"/>
            </w:tcMar>
            <w:vAlign w:val="center"/>
          </w:tcPr>
          <w:p>
            <w:pPr>
              <w:jc w:val="center"/>
            </w:pPr>
            <w:r>
              <w:rPr>
                <w:b/>
                <w:sz w:val="15"/>
              </w:rPr>
              <w:t>Agent / Entreprise</w:t>
            </w:r>
          </w:p>
        </w:tc>
      </w:tr>
      <w:tr>
        <w:tc>
          <w:tcPr>
            <w:tcW w:type="dxa" w:w="2381"/>
            <w:tcMar>
              <w:top w:w="70" w:type="dxa"/>
              <w:start w:w="80" w:type="dxa"/>
              <w:bottom w:w="70" w:type="dxa"/>
              <w:end w:w="80" w:type="dxa"/>
            </w:tcMar>
            <w:vAlign w:val="center"/>
          </w:tcPr>
          <w:p>
            <w:pPr>
              <w:jc w:val="left"/>
            </w:pPr>
            <w:r>
              <w:rPr>
                <w:sz w:val="15"/>
              </w:rPr>
              <w:t>Recevabilité et ouverture</w:t>
            </w:r>
          </w:p>
        </w:tc>
        <w:tc>
          <w:tcPr>
            <w:tcW w:type="dxa" w:w="1361"/>
            <w:tcMar>
              <w:top w:w="70" w:type="dxa"/>
              <w:start w:w="80" w:type="dxa"/>
              <w:bottom w:w="70" w:type="dxa"/>
              <w:end w:w="80" w:type="dxa"/>
            </w:tcMar>
            <w:vAlign w:val="center"/>
          </w:tcPr>
          <w:p>
            <w:pPr>
              <w:jc w:val="left"/>
            </w:pPr>
            <w:r>
              <w:rPr>
                <w:sz w:val="15"/>
              </w:rPr>
              <w:t>I</w:t>
            </w:r>
          </w:p>
        </w:tc>
        <w:tc>
          <w:tcPr>
            <w:tcW w:type="dxa" w:w="1247"/>
            <w:tcMar>
              <w:top w:w="70" w:type="dxa"/>
              <w:start w:w="80" w:type="dxa"/>
              <w:bottom w:w="70" w:type="dxa"/>
              <w:end w:w="80" w:type="dxa"/>
            </w:tcMar>
            <w:vAlign w:val="center"/>
          </w:tcPr>
          <w:p>
            <w:pPr>
              <w:jc w:val="left"/>
            </w:pPr>
            <w:r>
              <w:rPr>
                <w:sz w:val="15"/>
              </w:rPr>
              <w:t>A/R</w:t>
            </w:r>
          </w:p>
        </w:tc>
        <w:tc>
          <w:tcPr>
            <w:tcW w:type="dxa" w:w="1247"/>
            <w:tcMar>
              <w:top w:w="70" w:type="dxa"/>
              <w:start w:w="80" w:type="dxa"/>
              <w:bottom w:w="70" w:type="dxa"/>
              <w:end w:w="80" w:type="dxa"/>
            </w:tcMar>
            <w:vAlign w:val="center"/>
          </w:tcPr>
          <w:p>
            <w:pPr>
              <w:jc w:val="left"/>
            </w:pPr>
            <w:r>
              <w:rPr>
                <w:sz w:val="15"/>
              </w:rPr>
              <w:t>C</w:t>
            </w:r>
          </w:p>
        </w:tc>
        <w:tc>
          <w:tcPr>
            <w:tcW w:type="dxa" w:w="1361"/>
            <w:tcMar>
              <w:top w:w="70" w:type="dxa"/>
              <w:start w:w="80" w:type="dxa"/>
              <w:bottom w:w="70" w:type="dxa"/>
              <w:end w:w="80" w:type="dxa"/>
            </w:tcMar>
            <w:vAlign w:val="center"/>
          </w:tcPr>
          <w:p>
            <w:pPr>
              <w:jc w:val="left"/>
            </w:pPr>
            <w:r>
              <w:rPr>
                <w:sz w:val="15"/>
              </w:rPr>
              <w:t>I</w:t>
            </w:r>
          </w:p>
        </w:tc>
        <w:tc>
          <w:tcPr>
            <w:tcW w:type="dxa" w:w="1191"/>
            <w:tcMar>
              <w:top w:w="70" w:type="dxa"/>
              <w:start w:w="80" w:type="dxa"/>
              <w:bottom w:w="70" w:type="dxa"/>
              <w:end w:w="80" w:type="dxa"/>
            </w:tcMar>
            <w:vAlign w:val="center"/>
          </w:tcPr>
          <w:p>
            <w:pPr>
              <w:jc w:val="left"/>
            </w:pPr>
            <w:r>
              <w:rPr>
                <w:sz w:val="15"/>
              </w:rPr>
              <w:t>I</w:t>
            </w:r>
          </w:p>
        </w:tc>
        <w:tc>
          <w:tcPr>
            <w:tcW w:type="dxa" w:w="1417"/>
            <w:tcMar>
              <w:top w:w="70" w:type="dxa"/>
              <w:start w:w="80" w:type="dxa"/>
              <w:bottom w:w="70" w:type="dxa"/>
              <w:end w:w="80" w:type="dxa"/>
            </w:tcMar>
            <w:vAlign w:val="center"/>
          </w:tcPr>
          <w:p>
            <w:pPr>
              <w:jc w:val="left"/>
            </w:pPr>
            <w:r>
              <w:rPr>
                <w:sz w:val="15"/>
              </w:rPr>
              <w:t>C</w:t>
            </w:r>
          </w:p>
        </w:tc>
      </w:tr>
      <w:tr>
        <w:tc>
          <w:tcPr>
            <w:tcW w:type="dxa" w:w="2381"/>
            <w:tcMar>
              <w:top w:w="70" w:type="dxa"/>
              <w:start w:w="80" w:type="dxa"/>
              <w:bottom w:w="70" w:type="dxa"/>
              <w:end w:w="80" w:type="dxa"/>
            </w:tcMar>
            <w:vAlign w:val="center"/>
            <w:shd w:fill="F9FBFC"/>
          </w:tcPr>
          <w:p>
            <w:pPr>
              <w:jc w:val="left"/>
            </w:pPr>
            <w:r>
              <w:rPr>
                <w:sz w:val="15"/>
              </w:rPr>
              <w:t>Affectation</w:t>
            </w:r>
          </w:p>
        </w:tc>
        <w:tc>
          <w:tcPr>
            <w:tcW w:type="dxa" w:w="1361"/>
            <w:tcMar>
              <w:top w:w="70" w:type="dxa"/>
              <w:start w:w="80" w:type="dxa"/>
              <w:bottom w:w="70" w:type="dxa"/>
              <w:end w:w="80" w:type="dxa"/>
            </w:tcMar>
            <w:vAlign w:val="center"/>
            <w:shd w:fill="F9FBFC"/>
          </w:tcPr>
          <w:p>
            <w:pPr>
              <w:jc w:val="left"/>
            </w:pPr>
            <w:r>
              <w:rPr>
                <w:sz w:val="15"/>
              </w:rPr>
              <w:t>I</w:t>
            </w:r>
          </w:p>
        </w:tc>
        <w:tc>
          <w:tcPr>
            <w:tcW w:type="dxa" w:w="1247"/>
            <w:tcMar>
              <w:top w:w="70" w:type="dxa"/>
              <w:start w:w="80" w:type="dxa"/>
              <w:bottom w:w="70" w:type="dxa"/>
              <w:end w:w="80" w:type="dxa"/>
            </w:tcMar>
            <w:vAlign w:val="center"/>
            <w:shd w:fill="F9FBFC"/>
          </w:tcPr>
          <w:p>
            <w:pPr>
              <w:jc w:val="left"/>
            </w:pPr>
            <w:r>
              <w:rPr>
                <w:sz w:val="15"/>
              </w:rPr>
              <w:t>A/R</w:t>
            </w:r>
          </w:p>
        </w:tc>
        <w:tc>
          <w:tcPr>
            <w:tcW w:type="dxa" w:w="1247"/>
            <w:tcMar>
              <w:top w:w="70" w:type="dxa"/>
              <w:start w:w="80" w:type="dxa"/>
              <w:bottom w:w="70" w:type="dxa"/>
              <w:end w:w="80" w:type="dxa"/>
            </w:tcMar>
            <w:vAlign w:val="center"/>
            <w:shd w:fill="F9FBFC"/>
          </w:tcPr>
          <w:p>
            <w:pPr>
              <w:jc w:val="left"/>
            </w:pPr>
            <w:r>
              <w:rPr>
                <w:sz w:val="15"/>
              </w:rPr>
              <w:t>I</w:t>
            </w:r>
          </w:p>
        </w:tc>
        <w:tc>
          <w:tcPr>
            <w:tcW w:type="dxa" w:w="1361"/>
            <w:tcMar>
              <w:top w:w="70" w:type="dxa"/>
              <w:start w:w="80" w:type="dxa"/>
              <w:bottom w:w="70" w:type="dxa"/>
              <w:end w:w="80" w:type="dxa"/>
            </w:tcMar>
            <w:vAlign w:val="center"/>
            <w:shd w:fill="F9FBFC"/>
          </w:tcPr>
          <w:p>
            <w:pPr>
              <w:jc w:val="left"/>
            </w:pPr>
            <w:r>
              <w:rPr>
                <w:sz w:val="15"/>
              </w:rPr>
              <w:t>I</w:t>
            </w:r>
          </w:p>
        </w:tc>
        <w:tc>
          <w:tcPr>
            <w:tcW w:type="dxa" w:w="1191"/>
            <w:tcMar>
              <w:top w:w="70" w:type="dxa"/>
              <w:start w:w="80" w:type="dxa"/>
              <w:bottom w:w="70" w:type="dxa"/>
              <w:end w:w="80" w:type="dxa"/>
            </w:tcMar>
            <w:vAlign w:val="center"/>
            <w:shd w:fill="F9FBFC"/>
          </w:tcPr>
          <w:p>
            <w:pPr>
              <w:jc w:val="left"/>
            </w:pPr>
            <w:r>
              <w:rPr>
                <w:sz w:val="15"/>
              </w:rPr>
              <w:t>I</w:t>
            </w:r>
          </w:p>
        </w:tc>
        <w:tc>
          <w:tcPr>
            <w:tcW w:type="dxa" w:w="1417"/>
            <w:tcMar>
              <w:top w:w="70" w:type="dxa"/>
              <w:start w:w="80" w:type="dxa"/>
              <w:bottom w:w="70" w:type="dxa"/>
              <w:end w:w="80" w:type="dxa"/>
            </w:tcMar>
            <w:vAlign w:val="center"/>
            <w:shd w:fill="F9FBFC"/>
          </w:tcPr>
          <w:p>
            <w:pPr>
              <w:jc w:val="left"/>
            </w:pPr>
            <w:r>
              <w:rPr>
                <w:sz w:val="15"/>
              </w:rPr>
              <w:t>I</w:t>
            </w:r>
          </w:p>
        </w:tc>
      </w:tr>
      <w:tr>
        <w:tc>
          <w:tcPr>
            <w:tcW w:type="dxa" w:w="2381"/>
            <w:tcMar>
              <w:top w:w="70" w:type="dxa"/>
              <w:start w:w="80" w:type="dxa"/>
              <w:bottom w:w="70" w:type="dxa"/>
              <w:end w:w="80" w:type="dxa"/>
            </w:tcMar>
            <w:vAlign w:val="center"/>
          </w:tcPr>
          <w:p>
            <w:pPr>
              <w:jc w:val="left"/>
            </w:pPr>
            <w:r>
              <w:rPr>
                <w:sz w:val="15"/>
              </w:rPr>
              <w:t>Vérification documentaire</w:t>
            </w:r>
          </w:p>
        </w:tc>
        <w:tc>
          <w:tcPr>
            <w:tcW w:type="dxa" w:w="1361"/>
            <w:tcMar>
              <w:top w:w="70" w:type="dxa"/>
              <w:start w:w="80" w:type="dxa"/>
              <w:bottom w:w="70" w:type="dxa"/>
              <w:end w:w="80" w:type="dxa"/>
            </w:tcMar>
            <w:vAlign w:val="center"/>
          </w:tcPr>
          <w:p>
            <w:pPr>
              <w:jc w:val="left"/>
            </w:pPr>
            <w:r>
              <w:rPr>
                <w:sz w:val="15"/>
              </w:rPr>
              <w:t>I</w:t>
            </w:r>
          </w:p>
        </w:tc>
        <w:tc>
          <w:tcPr>
            <w:tcW w:type="dxa" w:w="1247"/>
            <w:tcMar>
              <w:top w:w="70" w:type="dxa"/>
              <w:start w:w="80" w:type="dxa"/>
              <w:bottom w:w="70" w:type="dxa"/>
              <w:end w:w="80" w:type="dxa"/>
            </w:tcMar>
            <w:vAlign w:val="center"/>
          </w:tcPr>
          <w:p>
            <w:pPr>
              <w:jc w:val="left"/>
            </w:pPr>
            <w:r>
              <w:rPr>
                <w:sz w:val="15"/>
              </w:rPr>
              <w:t>A</w:t>
            </w:r>
          </w:p>
        </w:tc>
        <w:tc>
          <w:tcPr>
            <w:tcW w:type="dxa" w:w="1247"/>
            <w:tcMar>
              <w:top w:w="70" w:type="dxa"/>
              <w:start w:w="80" w:type="dxa"/>
              <w:bottom w:w="70" w:type="dxa"/>
              <w:end w:w="80" w:type="dxa"/>
            </w:tcMar>
            <w:vAlign w:val="center"/>
          </w:tcPr>
          <w:p>
            <w:pPr>
              <w:jc w:val="left"/>
            </w:pPr>
            <w:r>
              <w:rPr>
                <w:sz w:val="15"/>
              </w:rPr>
              <w:t>R</w:t>
            </w:r>
          </w:p>
        </w:tc>
        <w:tc>
          <w:tcPr>
            <w:tcW w:type="dxa" w:w="1361"/>
            <w:tcMar>
              <w:top w:w="70" w:type="dxa"/>
              <w:start w:w="80" w:type="dxa"/>
              <w:bottom w:w="70" w:type="dxa"/>
              <w:end w:w="80" w:type="dxa"/>
            </w:tcMar>
            <w:vAlign w:val="center"/>
          </w:tcPr>
          <w:p>
            <w:pPr>
              <w:jc w:val="left"/>
            </w:pPr>
            <w:r>
              <w:rPr>
                <w:sz w:val="15"/>
              </w:rPr>
              <w:t>C</w:t>
            </w:r>
          </w:p>
        </w:tc>
        <w:tc>
          <w:tcPr>
            <w:tcW w:type="dxa" w:w="1191"/>
            <w:tcMar>
              <w:top w:w="70" w:type="dxa"/>
              <w:start w:w="80" w:type="dxa"/>
              <w:bottom w:w="70" w:type="dxa"/>
              <w:end w:w="80" w:type="dxa"/>
            </w:tcMar>
            <w:vAlign w:val="center"/>
          </w:tcPr>
          <w:p>
            <w:pPr>
              <w:jc w:val="left"/>
            </w:pPr>
            <w:r>
              <w:rPr>
                <w:sz w:val="15"/>
              </w:rPr>
              <w:t>I</w:t>
            </w:r>
          </w:p>
        </w:tc>
        <w:tc>
          <w:tcPr>
            <w:tcW w:type="dxa" w:w="1417"/>
            <w:tcMar>
              <w:top w:w="70" w:type="dxa"/>
              <w:start w:w="80" w:type="dxa"/>
              <w:bottom w:w="70" w:type="dxa"/>
              <w:end w:w="80" w:type="dxa"/>
            </w:tcMar>
            <w:vAlign w:val="center"/>
          </w:tcPr>
          <w:p>
            <w:pPr>
              <w:jc w:val="left"/>
            </w:pPr>
            <w:r>
              <w:rPr>
                <w:sz w:val="15"/>
              </w:rPr>
              <w:t>C</w:t>
            </w:r>
          </w:p>
        </w:tc>
      </w:tr>
      <w:tr>
        <w:tc>
          <w:tcPr>
            <w:tcW w:type="dxa" w:w="2381"/>
            <w:tcMar>
              <w:top w:w="70" w:type="dxa"/>
              <w:start w:w="80" w:type="dxa"/>
              <w:bottom w:w="70" w:type="dxa"/>
              <w:end w:w="80" w:type="dxa"/>
            </w:tcMar>
            <w:vAlign w:val="center"/>
            <w:shd w:fill="F9FBFC"/>
          </w:tcPr>
          <w:p>
            <w:pPr>
              <w:jc w:val="left"/>
            </w:pPr>
            <w:r>
              <w:rPr>
                <w:sz w:val="15"/>
              </w:rPr>
              <w:t>Confirmation externe</w:t>
            </w:r>
          </w:p>
        </w:tc>
        <w:tc>
          <w:tcPr>
            <w:tcW w:type="dxa" w:w="1361"/>
            <w:tcMar>
              <w:top w:w="70" w:type="dxa"/>
              <w:start w:w="80" w:type="dxa"/>
              <w:bottom w:w="70" w:type="dxa"/>
              <w:end w:w="80" w:type="dxa"/>
            </w:tcMar>
            <w:vAlign w:val="center"/>
            <w:shd w:fill="F9FBFC"/>
          </w:tcPr>
          <w:p>
            <w:pPr>
              <w:jc w:val="left"/>
            </w:pPr>
            <w:r>
              <w:rPr>
                <w:sz w:val="15"/>
              </w:rPr>
              <w:t>I</w:t>
            </w:r>
          </w:p>
        </w:tc>
        <w:tc>
          <w:tcPr>
            <w:tcW w:type="dxa" w:w="1247"/>
            <w:tcMar>
              <w:top w:w="70" w:type="dxa"/>
              <w:start w:w="80" w:type="dxa"/>
              <w:bottom w:w="70" w:type="dxa"/>
              <w:end w:w="80" w:type="dxa"/>
            </w:tcMar>
            <w:vAlign w:val="center"/>
            <w:shd w:fill="F9FBFC"/>
          </w:tcPr>
          <w:p>
            <w:pPr>
              <w:jc w:val="left"/>
            </w:pPr>
            <w:r>
              <w:rPr>
                <w:sz w:val="15"/>
              </w:rPr>
              <w:t>A</w:t>
            </w:r>
          </w:p>
        </w:tc>
        <w:tc>
          <w:tcPr>
            <w:tcW w:type="dxa" w:w="1247"/>
            <w:tcMar>
              <w:top w:w="70" w:type="dxa"/>
              <w:start w:w="80" w:type="dxa"/>
              <w:bottom w:w="70" w:type="dxa"/>
              <w:end w:w="80" w:type="dxa"/>
            </w:tcMar>
            <w:vAlign w:val="center"/>
            <w:shd w:fill="F9FBFC"/>
          </w:tcPr>
          <w:p>
            <w:pPr>
              <w:jc w:val="left"/>
            </w:pPr>
            <w:r>
              <w:rPr>
                <w:sz w:val="15"/>
              </w:rPr>
              <w:t>R</w:t>
            </w:r>
          </w:p>
        </w:tc>
        <w:tc>
          <w:tcPr>
            <w:tcW w:type="dxa" w:w="1361"/>
            <w:tcMar>
              <w:top w:w="70" w:type="dxa"/>
              <w:start w:w="80" w:type="dxa"/>
              <w:bottom w:w="70" w:type="dxa"/>
              <w:end w:w="80" w:type="dxa"/>
            </w:tcMar>
            <w:vAlign w:val="center"/>
            <w:shd w:fill="F9FBFC"/>
          </w:tcPr>
          <w:p>
            <w:pPr>
              <w:jc w:val="left"/>
            </w:pPr>
            <w:r>
              <w:rPr>
                <w:sz w:val="15"/>
              </w:rPr>
              <w:t>C</w:t>
            </w:r>
          </w:p>
        </w:tc>
        <w:tc>
          <w:tcPr>
            <w:tcW w:type="dxa" w:w="1191"/>
            <w:tcMar>
              <w:top w:w="70" w:type="dxa"/>
              <w:start w:w="80" w:type="dxa"/>
              <w:bottom w:w="70" w:type="dxa"/>
              <w:end w:w="80" w:type="dxa"/>
            </w:tcMar>
            <w:vAlign w:val="center"/>
            <w:shd w:fill="F9FBFC"/>
          </w:tcPr>
          <w:p>
            <w:pPr>
              <w:jc w:val="left"/>
            </w:pPr>
            <w:r>
              <w:rPr>
                <w:sz w:val="15"/>
              </w:rPr>
              <w:t>I</w:t>
            </w:r>
          </w:p>
        </w:tc>
        <w:tc>
          <w:tcPr>
            <w:tcW w:type="dxa" w:w="1417"/>
            <w:tcMar>
              <w:top w:w="70" w:type="dxa"/>
              <w:start w:w="80" w:type="dxa"/>
              <w:bottom w:w="70" w:type="dxa"/>
              <w:end w:w="80" w:type="dxa"/>
            </w:tcMar>
            <w:vAlign w:val="center"/>
            <w:shd w:fill="F9FBFC"/>
          </w:tcPr>
          <w:p>
            <w:pPr>
              <w:jc w:val="left"/>
            </w:pPr>
            <w:r>
              <w:rPr>
                <w:sz w:val="15"/>
              </w:rPr>
              <w:t>C</w:t>
            </w:r>
          </w:p>
        </w:tc>
      </w:tr>
      <w:tr>
        <w:tc>
          <w:tcPr>
            <w:tcW w:type="dxa" w:w="2381"/>
            <w:tcMar>
              <w:top w:w="70" w:type="dxa"/>
              <w:start w:w="80" w:type="dxa"/>
              <w:bottom w:w="70" w:type="dxa"/>
              <w:end w:w="80" w:type="dxa"/>
            </w:tcMar>
            <w:vAlign w:val="center"/>
          </w:tcPr>
          <w:p>
            <w:pPr>
              <w:jc w:val="left"/>
            </w:pPr>
            <w:r>
              <w:rPr>
                <w:sz w:val="15"/>
              </w:rPr>
              <w:t>Gestion des anomalies</w:t>
            </w:r>
          </w:p>
        </w:tc>
        <w:tc>
          <w:tcPr>
            <w:tcW w:type="dxa" w:w="1361"/>
            <w:tcMar>
              <w:top w:w="70" w:type="dxa"/>
              <w:start w:w="80" w:type="dxa"/>
              <w:bottom w:w="70" w:type="dxa"/>
              <w:end w:w="80" w:type="dxa"/>
            </w:tcMar>
            <w:vAlign w:val="center"/>
          </w:tcPr>
          <w:p>
            <w:pPr>
              <w:jc w:val="left"/>
            </w:pPr>
            <w:r>
              <w:rPr>
                <w:sz w:val="15"/>
              </w:rPr>
              <w:t>C</w:t>
            </w:r>
          </w:p>
        </w:tc>
        <w:tc>
          <w:tcPr>
            <w:tcW w:type="dxa" w:w="1247"/>
            <w:tcMar>
              <w:top w:w="70" w:type="dxa"/>
              <w:start w:w="80" w:type="dxa"/>
              <w:bottom w:w="70" w:type="dxa"/>
              <w:end w:w="80" w:type="dxa"/>
            </w:tcMar>
            <w:vAlign w:val="center"/>
          </w:tcPr>
          <w:p>
            <w:pPr>
              <w:jc w:val="left"/>
            </w:pPr>
            <w:r>
              <w:rPr>
                <w:sz w:val="15"/>
              </w:rPr>
              <w:t>A</w:t>
            </w:r>
          </w:p>
        </w:tc>
        <w:tc>
          <w:tcPr>
            <w:tcW w:type="dxa" w:w="1247"/>
            <w:tcMar>
              <w:top w:w="70" w:type="dxa"/>
              <w:start w:w="80" w:type="dxa"/>
              <w:bottom w:w="70" w:type="dxa"/>
              <w:end w:w="80" w:type="dxa"/>
            </w:tcMar>
            <w:vAlign w:val="center"/>
          </w:tcPr>
          <w:p>
            <w:pPr>
              <w:jc w:val="left"/>
            </w:pPr>
            <w:r>
              <w:rPr>
                <w:sz w:val="15"/>
              </w:rPr>
              <w:t>R</w:t>
            </w:r>
          </w:p>
        </w:tc>
        <w:tc>
          <w:tcPr>
            <w:tcW w:type="dxa" w:w="1361"/>
            <w:tcMar>
              <w:top w:w="70" w:type="dxa"/>
              <w:start w:w="80" w:type="dxa"/>
              <w:bottom w:w="70" w:type="dxa"/>
              <w:end w:w="80" w:type="dxa"/>
            </w:tcMar>
            <w:vAlign w:val="center"/>
          </w:tcPr>
          <w:p>
            <w:pPr>
              <w:jc w:val="left"/>
            </w:pPr>
            <w:r>
              <w:rPr>
                <w:sz w:val="15"/>
              </w:rPr>
              <w:t>C</w:t>
            </w:r>
          </w:p>
        </w:tc>
        <w:tc>
          <w:tcPr>
            <w:tcW w:type="dxa" w:w="1191"/>
            <w:tcMar>
              <w:top w:w="70" w:type="dxa"/>
              <w:start w:w="80" w:type="dxa"/>
              <w:bottom w:w="70" w:type="dxa"/>
              <w:end w:w="80" w:type="dxa"/>
            </w:tcMar>
            <w:vAlign w:val="center"/>
          </w:tcPr>
          <w:p>
            <w:pPr>
              <w:jc w:val="left"/>
            </w:pPr>
            <w:r>
              <w:rPr>
                <w:sz w:val="15"/>
              </w:rPr>
              <w:t>I</w:t>
            </w:r>
          </w:p>
        </w:tc>
        <w:tc>
          <w:tcPr>
            <w:tcW w:type="dxa" w:w="1417"/>
            <w:tcMar>
              <w:top w:w="70" w:type="dxa"/>
              <w:start w:w="80" w:type="dxa"/>
              <w:bottom w:w="70" w:type="dxa"/>
              <w:end w:w="80" w:type="dxa"/>
            </w:tcMar>
            <w:vAlign w:val="center"/>
          </w:tcPr>
          <w:p>
            <w:pPr>
              <w:jc w:val="left"/>
            </w:pPr>
            <w:r>
              <w:rPr>
                <w:sz w:val="15"/>
              </w:rPr>
              <w:t>C</w:t>
            </w:r>
          </w:p>
        </w:tc>
      </w:tr>
      <w:tr>
        <w:tc>
          <w:tcPr>
            <w:tcW w:type="dxa" w:w="2381"/>
            <w:tcMar>
              <w:top w:w="70" w:type="dxa"/>
              <w:start w:w="80" w:type="dxa"/>
              <w:bottom w:w="70" w:type="dxa"/>
              <w:end w:w="80" w:type="dxa"/>
            </w:tcMar>
            <w:vAlign w:val="center"/>
            <w:shd w:fill="F9FBFC"/>
          </w:tcPr>
          <w:p>
            <w:pPr>
              <w:jc w:val="left"/>
            </w:pPr>
            <w:r>
              <w:rPr>
                <w:sz w:val="15"/>
              </w:rPr>
              <w:t>Contrôle FUCCS</w:t>
            </w:r>
          </w:p>
        </w:tc>
        <w:tc>
          <w:tcPr>
            <w:tcW w:type="dxa" w:w="1361"/>
            <w:tcMar>
              <w:top w:w="70" w:type="dxa"/>
              <w:start w:w="80" w:type="dxa"/>
              <w:bottom w:w="70" w:type="dxa"/>
              <w:end w:w="80" w:type="dxa"/>
            </w:tcMar>
            <w:vAlign w:val="center"/>
            <w:shd w:fill="F9FBFC"/>
          </w:tcPr>
          <w:p>
            <w:pPr>
              <w:jc w:val="left"/>
            </w:pPr>
            <w:r>
              <w:rPr>
                <w:sz w:val="15"/>
              </w:rPr>
              <w:t>I</w:t>
            </w:r>
          </w:p>
        </w:tc>
        <w:tc>
          <w:tcPr>
            <w:tcW w:type="dxa" w:w="1247"/>
            <w:tcMar>
              <w:top w:w="70" w:type="dxa"/>
              <w:start w:w="80" w:type="dxa"/>
              <w:bottom w:w="70" w:type="dxa"/>
              <w:end w:w="80" w:type="dxa"/>
            </w:tcMar>
            <w:vAlign w:val="center"/>
            <w:shd w:fill="F9FBFC"/>
          </w:tcPr>
          <w:p>
            <w:pPr>
              <w:jc w:val="left"/>
            </w:pPr>
            <w:r>
              <w:rPr>
                <w:sz w:val="15"/>
              </w:rPr>
              <w:t>A</w:t>
            </w:r>
          </w:p>
        </w:tc>
        <w:tc>
          <w:tcPr>
            <w:tcW w:type="dxa" w:w="1247"/>
            <w:tcMar>
              <w:top w:w="70" w:type="dxa"/>
              <w:start w:w="80" w:type="dxa"/>
              <w:bottom w:w="70" w:type="dxa"/>
              <w:end w:w="80" w:type="dxa"/>
            </w:tcMar>
            <w:vAlign w:val="center"/>
            <w:shd w:fill="F9FBFC"/>
          </w:tcPr>
          <w:p>
            <w:pPr>
              <w:jc w:val="left"/>
            </w:pPr>
            <w:r>
              <w:rPr>
                <w:sz w:val="15"/>
              </w:rPr>
              <w:t>C</w:t>
            </w:r>
          </w:p>
        </w:tc>
        <w:tc>
          <w:tcPr>
            <w:tcW w:type="dxa" w:w="1361"/>
            <w:tcMar>
              <w:top w:w="70" w:type="dxa"/>
              <w:start w:w="80" w:type="dxa"/>
              <w:bottom w:w="70" w:type="dxa"/>
              <w:end w:w="80" w:type="dxa"/>
            </w:tcMar>
            <w:vAlign w:val="center"/>
            <w:shd w:fill="F9FBFC"/>
          </w:tcPr>
          <w:p>
            <w:pPr>
              <w:jc w:val="left"/>
            </w:pPr>
            <w:r>
              <w:rPr>
                <w:sz w:val="15"/>
              </w:rPr>
              <w:t>R</w:t>
            </w:r>
          </w:p>
        </w:tc>
        <w:tc>
          <w:tcPr>
            <w:tcW w:type="dxa" w:w="1191"/>
            <w:tcMar>
              <w:top w:w="70" w:type="dxa"/>
              <w:start w:w="80" w:type="dxa"/>
              <w:bottom w:w="70" w:type="dxa"/>
              <w:end w:w="80" w:type="dxa"/>
            </w:tcMar>
            <w:vAlign w:val="center"/>
            <w:shd w:fill="F9FBFC"/>
          </w:tcPr>
          <w:p>
            <w:pPr>
              <w:jc w:val="left"/>
            </w:pPr>
            <w:r>
              <w:rPr>
                <w:sz w:val="15"/>
              </w:rPr>
              <w:t>I</w:t>
            </w:r>
          </w:p>
        </w:tc>
        <w:tc>
          <w:tcPr>
            <w:tcW w:type="dxa" w:w="1417"/>
            <w:tcMar>
              <w:top w:w="70" w:type="dxa"/>
              <w:start w:w="80" w:type="dxa"/>
              <w:bottom w:w="70" w:type="dxa"/>
              <w:end w:w="80" w:type="dxa"/>
            </w:tcMar>
            <w:vAlign w:val="center"/>
            <w:shd w:fill="F9FBFC"/>
          </w:tcPr>
          <w:p>
            <w:pPr>
              <w:jc w:val="left"/>
            </w:pPr>
            <w:r>
              <w:rPr>
                <w:sz w:val="15"/>
              </w:rPr>
              <w:t>C</w:t>
            </w:r>
          </w:p>
        </w:tc>
      </w:tr>
      <w:tr>
        <w:tc>
          <w:tcPr>
            <w:tcW w:type="dxa" w:w="2381"/>
            <w:tcMar>
              <w:top w:w="70" w:type="dxa"/>
              <w:start w:w="80" w:type="dxa"/>
              <w:bottom w:w="70" w:type="dxa"/>
              <w:end w:w="80" w:type="dxa"/>
            </w:tcMar>
            <w:vAlign w:val="center"/>
          </w:tcPr>
          <w:p>
            <w:pPr>
              <w:jc w:val="left"/>
            </w:pPr>
            <w:r>
              <w:rPr>
                <w:sz w:val="15"/>
              </w:rPr>
              <w:t>Revue technique</w:t>
            </w:r>
          </w:p>
        </w:tc>
        <w:tc>
          <w:tcPr>
            <w:tcW w:type="dxa" w:w="1361"/>
            <w:tcMar>
              <w:top w:w="70" w:type="dxa"/>
              <w:start w:w="80" w:type="dxa"/>
              <w:bottom w:w="70" w:type="dxa"/>
              <w:end w:w="80" w:type="dxa"/>
            </w:tcMar>
            <w:vAlign w:val="center"/>
          </w:tcPr>
          <w:p>
            <w:pPr>
              <w:jc w:val="left"/>
            </w:pPr>
            <w:r>
              <w:rPr>
                <w:sz w:val="15"/>
              </w:rPr>
              <w:t>C</w:t>
            </w:r>
          </w:p>
        </w:tc>
        <w:tc>
          <w:tcPr>
            <w:tcW w:type="dxa" w:w="1247"/>
            <w:tcMar>
              <w:top w:w="70" w:type="dxa"/>
              <w:start w:w="80" w:type="dxa"/>
              <w:bottom w:w="70" w:type="dxa"/>
              <w:end w:w="80" w:type="dxa"/>
            </w:tcMar>
            <w:vAlign w:val="center"/>
          </w:tcPr>
          <w:p>
            <w:pPr>
              <w:jc w:val="left"/>
            </w:pPr>
            <w:r>
              <w:rPr>
                <w:sz w:val="15"/>
              </w:rPr>
              <w:t>R/A</w:t>
            </w:r>
          </w:p>
        </w:tc>
        <w:tc>
          <w:tcPr>
            <w:tcW w:type="dxa" w:w="1247"/>
            <w:tcMar>
              <w:top w:w="70" w:type="dxa"/>
              <w:start w:w="80" w:type="dxa"/>
              <w:bottom w:w="70" w:type="dxa"/>
              <w:end w:w="80" w:type="dxa"/>
            </w:tcMar>
            <w:vAlign w:val="center"/>
          </w:tcPr>
          <w:p>
            <w:pPr>
              <w:jc w:val="left"/>
            </w:pPr>
            <w:r>
              <w:rPr>
                <w:sz w:val="15"/>
              </w:rPr>
              <w:t>C</w:t>
            </w:r>
          </w:p>
        </w:tc>
        <w:tc>
          <w:tcPr>
            <w:tcW w:type="dxa" w:w="1361"/>
            <w:tcMar>
              <w:top w:w="70" w:type="dxa"/>
              <w:start w:w="80" w:type="dxa"/>
              <w:bottom w:w="70" w:type="dxa"/>
              <w:end w:w="80" w:type="dxa"/>
            </w:tcMar>
            <w:vAlign w:val="center"/>
          </w:tcPr>
          <w:p>
            <w:pPr>
              <w:jc w:val="left"/>
            </w:pPr>
            <w:r>
              <w:rPr>
                <w:sz w:val="15"/>
              </w:rPr>
              <w:t>C</w:t>
            </w:r>
          </w:p>
        </w:tc>
        <w:tc>
          <w:tcPr>
            <w:tcW w:type="dxa" w:w="1191"/>
            <w:tcMar>
              <w:top w:w="70" w:type="dxa"/>
              <w:start w:w="80" w:type="dxa"/>
              <w:bottom w:w="70" w:type="dxa"/>
              <w:end w:w="80" w:type="dxa"/>
            </w:tcMar>
            <w:vAlign w:val="center"/>
          </w:tcPr>
          <w:p>
            <w:pPr>
              <w:jc w:val="left"/>
            </w:pPr>
            <w:r>
              <w:rPr>
                <w:sz w:val="15"/>
              </w:rPr>
              <w:t>I</w:t>
            </w:r>
          </w:p>
        </w:tc>
        <w:tc>
          <w:tcPr>
            <w:tcW w:type="dxa" w:w="1417"/>
            <w:tcMar>
              <w:top w:w="70" w:type="dxa"/>
              <w:start w:w="80" w:type="dxa"/>
              <w:bottom w:w="70" w:type="dxa"/>
              <w:end w:w="80" w:type="dxa"/>
            </w:tcMar>
            <w:vAlign w:val="center"/>
          </w:tcPr>
          <w:p>
            <w:pPr>
              <w:jc w:val="left"/>
            </w:pPr>
            <w:r>
              <w:rPr>
                <w:sz w:val="15"/>
              </w:rPr>
              <w:t>I</w:t>
            </w:r>
          </w:p>
        </w:tc>
      </w:tr>
      <w:tr>
        <w:tc>
          <w:tcPr>
            <w:tcW w:type="dxa" w:w="2381"/>
            <w:tcMar>
              <w:top w:w="70" w:type="dxa"/>
              <w:start w:w="80" w:type="dxa"/>
              <w:bottom w:w="70" w:type="dxa"/>
              <w:end w:w="80" w:type="dxa"/>
            </w:tcMar>
            <w:vAlign w:val="center"/>
            <w:shd w:fill="F9FBFC"/>
          </w:tcPr>
          <w:p>
            <w:pPr>
              <w:jc w:val="left"/>
            </w:pPr>
            <w:r>
              <w:rPr>
                <w:sz w:val="15"/>
              </w:rPr>
              <w:t>Validation définitive</w:t>
            </w:r>
          </w:p>
        </w:tc>
        <w:tc>
          <w:tcPr>
            <w:tcW w:type="dxa" w:w="1361"/>
            <w:tcMar>
              <w:top w:w="70" w:type="dxa"/>
              <w:start w:w="80" w:type="dxa"/>
              <w:bottom w:w="70" w:type="dxa"/>
              <w:end w:w="80" w:type="dxa"/>
            </w:tcMar>
            <w:vAlign w:val="center"/>
            <w:shd w:fill="F9FBFC"/>
          </w:tcPr>
          <w:p>
            <w:pPr>
              <w:jc w:val="left"/>
            </w:pPr>
            <w:r>
              <w:rPr>
                <w:sz w:val="15"/>
              </w:rPr>
              <w:t>A/R</w:t>
            </w:r>
          </w:p>
        </w:tc>
        <w:tc>
          <w:tcPr>
            <w:tcW w:type="dxa" w:w="1247"/>
            <w:tcMar>
              <w:top w:w="70" w:type="dxa"/>
              <w:start w:w="80" w:type="dxa"/>
              <w:bottom w:w="70" w:type="dxa"/>
              <w:end w:w="80" w:type="dxa"/>
            </w:tcMar>
            <w:vAlign w:val="center"/>
            <w:shd w:fill="F9FBFC"/>
          </w:tcPr>
          <w:p>
            <w:pPr>
              <w:jc w:val="left"/>
            </w:pPr>
            <w:r>
              <w:rPr>
                <w:sz w:val="15"/>
              </w:rPr>
              <w:t>C</w:t>
            </w:r>
          </w:p>
        </w:tc>
        <w:tc>
          <w:tcPr>
            <w:tcW w:type="dxa" w:w="1247"/>
            <w:tcMar>
              <w:top w:w="70" w:type="dxa"/>
              <w:start w:w="80" w:type="dxa"/>
              <w:bottom w:w="70" w:type="dxa"/>
              <w:end w:w="80" w:type="dxa"/>
            </w:tcMar>
            <w:vAlign w:val="center"/>
            <w:shd w:fill="F9FBFC"/>
          </w:tcPr>
          <w:p>
            <w:pPr>
              <w:jc w:val="left"/>
            </w:pPr>
            <w:r>
              <w:rPr>
                <w:sz w:val="15"/>
              </w:rPr>
              <w:t>I</w:t>
            </w:r>
          </w:p>
        </w:tc>
        <w:tc>
          <w:tcPr>
            <w:tcW w:type="dxa" w:w="1361"/>
            <w:tcMar>
              <w:top w:w="70" w:type="dxa"/>
              <w:start w:w="80" w:type="dxa"/>
              <w:bottom w:w="70" w:type="dxa"/>
              <w:end w:w="80" w:type="dxa"/>
            </w:tcMar>
            <w:vAlign w:val="center"/>
            <w:shd w:fill="F9FBFC"/>
          </w:tcPr>
          <w:p>
            <w:pPr>
              <w:jc w:val="left"/>
            </w:pPr>
            <w:r>
              <w:rPr>
                <w:sz w:val="15"/>
              </w:rPr>
              <w:t>I</w:t>
            </w:r>
          </w:p>
        </w:tc>
        <w:tc>
          <w:tcPr>
            <w:tcW w:type="dxa" w:w="1191"/>
            <w:tcMar>
              <w:top w:w="70" w:type="dxa"/>
              <w:start w:w="80" w:type="dxa"/>
              <w:bottom w:w="70" w:type="dxa"/>
              <w:end w:w="80" w:type="dxa"/>
            </w:tcMar>
            <w:vAlign w:val="center"/>
            <w:shd w:fill="F9FBFC"/>
          </w:tcPr>
          <w:p>
            <w:pPr>
              <w:jc w:val="left"/>
            </w:pPr>
            <w:r>
              <w:rPr>
                <w:sz w:val="15"/>
              </w:rPr>
              <w:t>I</w:t>
            </w:r>
          </w:p>
        </w:tc>
        <w:tc>
          <w:tcPr>
            <w:tcW w:type="dxa" w:w="1417"/>
            <w:tcMar>
              <w:top w:w="70" w:type="dxa"/>
              <w:start w:w="80" w:type="dxa"/>
              <w:bottom w:w="70" w:type="dxa"/>
              <w:end w:w="80" w:type="dxa"/>
            </w:tcMar>
            <w:vAlign w:val="center"/>
            <w:shd w:fill="F9FBFC"/>
          </w:tcPr>
          <w:p>
            <w:pPr>
              <w:jc w:val="left"/>
            </w:pPr>
            <w:r>
              <w:rPr>
                <w:sz w:val="15"/>
              </w:rPr>
              <w:t>I</w:t>
            </w:r>
          </w:p>
        </w:tc>
      </w:tr>
      <w:tr>
        <w:tc>
          <w:tcPr>
            <w:tcW w:type="dxa" w:w="2381"/>
            <w:tcMar>
              <w:top w:w="70" w:type="dxa"/>
              <w:start w:w="80" w:type="dxa"/>
              <w:bottom w:w="70" w:type="dxa"/>
              <w:end w:w="80" w:type="dxa"/>
            </w:tcMar>
            <w:vAlign w:val="center"/>
          </w:tcPr>
          <w:p>
            <w:pPr>
              <w:jc w:val="left"/>
            </w:pPr>
            <w:r>
              <w:rPr>
                <w:sz w:val="15"/>
              </w:rPr>
              <w:t>Correction / resoumission</w:t>
            </w:r>
          </w:p>
        </w:tc>
        <w:tc>
          <w:tcPr>
            <w:tcW w:type="dxa" w:w="1361"/>
            <w:tcMar>
              <w:top w:w="70" w:type="dxa"/>
              <w:start w:w="80" w:type="dxa"/>
              <w:bottom w:w="70" w:type="dxa"/>
              <w:end w:w="80" w:type="dxa"/>
            </w:tcMar>
            <w:vAlign w:val="center"/>
          </w:tcPr>
          <w:p>
            <w:pPr>
              <w:jc w:val="left"/>
            </w:pPr>
            <w:r>
              <w:rPr>
                <w:sz w:val="15"/>
              </w:rPr>
              <w:t>I</w:t>
            </w:r>
          </w:p>
        </w:tc>
        <w:tc>
          <w:tcPr>
            <w:tcW w:type="dxa" w:w="1247"/>
            <w:tcMar>
              <w:top w:w="70" w:type="dxa"/>
              <w:start w:w="80" w:type="dxa"/>
              <w:bottom w:w="70" w:type="dxa"/>
              <w:end w:w="80" w:type="dxa"/>
            </w:tcMar>
            <w:vAlign w:val="center"/>
          </w:tcPr>
          <w:p>
            <w:pPr>
              <w:jc w:val="left"/>
            </w:pPr>
            <w:r>
              <w:rPr>
                <w:sz w:val="15"/>
              </w:rPr>
              <w:t>A</w:t>
            </w:r>
          </w:p>
        </w:tc>
        <w:tc>
          <w:tcPr>
            <w:tcW w:type="dxa" w:w="1247"/>
            <w:tcMar>
              <w:top w:w="70" w:type="dxa"/>
              <w:start w:w="80" w:type="dxa"/>
              <w:bottom w:w="70" w:type="dxa"/>
              <w:end w:w="80" w:type="dxa"/>
            </w:tcMar>
            <w:vAlign w:val="center"/>
          </w:tcPr>
          <w:p>
            <w:pPr>
              <w:jc w:val="left"/>
            </w:pPr>
            <w:r>
              <w:rPr>
                <w:sz w:val="15"/>
              </w:rPr>
              <w:t>C</w:t>
            </w:r>
          </w:p>
        </w:tc>
        <w:tc>
          <w:tcPr>
            <w:tcW w:type="dxa" w:w="1361"/>
            <w:tcMar>
              <w:top w:w="70" w:type="dxa"/>
              <w:start w:w="80" w:type="dxa"/>
              <w:bottom w:w="70" w:type="dxa"/>
              <w:end w:w="80" w:type="dxa"/>
            </w:tcMar>
            <w:vAlign w:val="center"/>
          </w:tcPr>
          <w:p>
            <w:pPr>
              <w:jc w:val="left"/>
            </w:pPr>
            <w:r>
              <w:rPr>
                <w:sz w:val="15"/>
              </w:rPr>
              <w:t>C</w:t>
            </w:r>
          </w:p>
        </w:tc>
        <w:tc>
          <w:tcPr>
            <w:tcW w:type="dxa" w:w="1191"/>
            <w:tcMar>
              <w:top w:w="70" w:type="dxa"/>
              <w:start w:w="80" w:type="dxa"/>
              <w:bottom w:w="70" w:type="dxa"/>
              <w:end w:w="80" w:type="dxa"/>
            </w:tcMar>
            <w:vAlign w:val="center"/>
          </w:tcPr>
          <w:p>
            <w:pPr>
              <w:jc w:val="left"/>
            </w:pPr>
            <w:r>
              <w:rPr>
                <w:sz w:val="15"/>
              </w:rPr>
              <w:t>I</w:t>
            </w:r>
          </w:p>
        </w:tc>
        <w:tc>
          <w:tcPr>
            <w:tcW w:type="dxa" w:w="1417"/>
            <w:tcMar>
              <w:top w:w="70" w:type="dxa"/>
              <w:start w:w="80" w:type="dxa"/>
              <w:bottom w:w="70" w:type="dxa"/>
              <w:end w:w="80" w:type="dxa"/>
            </w:tcMar>
            <w:vAlign w:val="center"/>
          </w:tcPr>
          <w:p>
            <w:pPr>
              <w:jc w:val="left"/>
            </w:pPr>
            <w:r>
              <w:rPr>
                <w:sz w:val="15"/>
              </w:rPr>
              <w:t>R</w:t>
            </w:r>
          </w:p>
        </w:tc>
      </w:tr>
      <w:tr>
        <w:tc>
          <w:tcPr>
            <w:tcW w:type="dxa" w:w="2381"/>
            <w:tcMar>
              <w:top w:w="70" w:type="dxa"/>
              <w:start w:w="80" w:type="dxa"/>
              <w:bottom w:w="70" w:type="dxa"/>
              <w:end w:w="80" w:type="dxa"/>
            </w:tcMar>
            <w:vAlign w:val="center"/>
            <w:shd w:fill="F9FBFC"/>
          </w:tcPr>
          <w:p>
            <w:pPr>
              <w:jc w:val="left"/>
            </w:pPr>
            <w:r>
              <w:rPr>
                <w:sz w:val="15"/>
              </w:rPr>
              <w:t>Transfert à l’intégration</w:t>
            </w:r>
          </w:p>
        </w:tc>
        <w:tc>
          <w:tcPr>
            <w:tcW w:type="dxa" w:w="1361"/>
            <w:tcMar>
              <w:top w:w="70" w:type="dxa"/>
              <w:start w:w="80" w:type="dxa"/>
              <w:bottom w:w="70" w:type="dxa"/>
              <w:end w:w="80" w:type="dxa"/>
            </w:tcMar>
            <w:vAlign w:val="center"/>
            <w:shd w:fill="F9FBFC"/>
          </w:tcPr>
          <w:p>
            <w:pPr>
              <w:jc w:val="left"/>
            </w:pPr>
            <w:r>
              <w:rPr>
                <w:sz w:val="15"/>
              </w:rPr>
              <w:t>I</w:t>
            </w:r>
          </w:p>
        </w:tc>
        <w:tc>
          <w:tcPr>
            <w:tcW w:type="dxa" w:w="1247"/>
            <w:tcMar>
              <w:top w:w="70" w:type="dxa"/>
              <w:start w:w="80" w:type="dxa"/>
              <w:bottom w:w="70" w:type="dxa"/>
              <w:end w:w="80" w:type="dxa"/>
            </w:tcMar>
            <w:vAlign w:val="center"/>
            <w:shd w:fill="F9FBFC"/>
          </w:tcPr>
          <w:p>
            <w:pPr>
              <w:jc w:val="left"/>
            </w:pPr>
            <w:r>
              <w:rPr>
                <w:sz w:val="15"/>
              </w:rPr>
              <w:t>A</w:t>
            </w:r>
          </w:p>
        </w:tc>
        <w:tc>
          <w:tcPr>
            <w:tcW w:type="dxa" w:w="1247"/>
            <w:tcMar>
              <w:top w:w="70" w:type="dxa"/>
              <w:start w:w="80" w:type="dxa"/>
              <w:bottom w:w="70" w:type="dxa"/>
              <w:end w:w="80" w:type="dxa"/>
            </w:tcMar>
            <w:vAlign w:val="center"/>
            <w:shd w:fill="F9FBFC"/>
          </w:tcPr>
          <w:p>
            <w:pPr>
              <w:jc w:val="left"/>
            </w:pPr>
            <w:r>
              <w:rPr>
                <w:sz w:val="15"/>
              </w:rPr>
              <w:t>I</w:t>
            </w:r>
          </w:p>
        </w:tc>
        <w:tc>
          <w:tcPr>
            <w:tcW w:type="dxa" w:w="1361"/>
            <w:tcMar>
              <w:top w:w="70" w:type="dxa"/>
              <w:start w:w="80" w:type="dxa"/>
              <w:bottom w:w="70" w:type="dxa"/>
              <w:end w:w="80" w:type="dxa"/>
            </w:tcMar>
            <w:vAlign w:val="center"/>
            <w:shd w:fill="F9FBFC"/>
          </w:tcPr>
          <w:p>
            <w:pPr>
              <w:jc w:val="left"/>
            </w:pPr>
            <w:r>
              <w:rPr>
                <w:sz w:val="15"/>
              </w:rPr>
              <w:t>I</w:t>
            </w:r>
          </w:p>
        </w:tc>
        <w:tc>
          <w:tcPr>
            <w:tcW w:type="dxa" w:w="1191"/>
            <w:tcMar>
              <w:top w:w="70" w:type="dxa"/>
              <w:start w:w="80" w:type="dxa"/>
              <w:bottom w:w="70" w:type="dxa"/>
              <w:end w:w="80" w:type="dxa"/>
            </w:tcMar>
            <w:vAlign w:val="center"/>
            <w:shd w:fill="F9FBFC"/>
          </w:tcPr>
          <w:p>
            <w:pPr>
              <w:jc w:val="left"/>
            </w:pPr>
            <w:r>
              <w:rPr>
                <w:sz w:val="15"/>
              </w:rPr>
              <w:t>R</w:t>
            </w:r>
          </w:p>
        </w:tc>
        <w:tc>
          <w:tcPr>
            <w:tcW w:type="dxa" w:w="1417"/>
            <w:tcMar>
              <w:top w:w="70" w:type="dxa"/>
              <w:start w:w="80" w:type="dxa"/>
              <w:bottom w:w="70" w:type="dxa"/>
              <w:end w:w="80" w:type="dxa"/>
            </w:tcMar>
            <w:vAlign w:val="center"/>
            <w:shd w:fill="F9FBFC"/>
          </w:tcPr>
          <w:p>
            <w:pPr>
              <w:jc w:val="left"/>
            </w:pPr>
            <w:r>
              <w:rPr>
                <w:sz w:val="15"/>
              </w:rPr>
              <w:t>I</w:t>
            </w:r>
          </w:p>
        </w:tc>
      </w:tr>
      <w:tr>
        <w:tc>
          <w:tcPr>
            <w:tcW w:type="dxa" w:w="2381"/>
            <w:tcMar>
              <w:top w:w="70" w:type="dxa"/>
              <w:start w:w="80" w:type="dxa"/>
              <w:bottom w:w="70" w:type="dxa"/>
              <w:end w:w="80" w:type="dxa"/>
            </w:tcMar>
            <w:vAlign w:val="center"/>
          </w:tcPr>
          <w:p>
            <w:pPr>
              <w:jc w:val="left"/>
            </w:pPr>
            <w:r>
              <w:rPr>
                <w:sz w:val="15"/>
              </w:rPr>
              <w:t>Contrôle post-intégration</w:t>
            </w:r>
          </w:p>
        </w:tc>
        <w:tc>
          <w:tcPr>
            <w:tcW w:type="dxa" w:w="1361"/>
            <w:tcMar>
              <w:top w:w="70" w:type="dxa"/>
              <w:start w:w="80" w:type="dxa"/>
              <w:bottom w:w="70" w:type="dxa"/>
              <w:end w:w="80" w:type="dxa"/>
            </w:tcMar>
            <w:vAlign w:val="center"/>
          </w:tcPr>
          <w:p>
            <w:pPr>
              <w:jc w:val="left"/>
            </w:pPr>
            <w:r>
              <w:rPr>
                <w:sz w:val="15"/>
              </w:rPr>
              <w:t>I</w:t>
            </w:r>
          </w:p>
        </w:tc>
        <w:tc>
          <w:tcPr>
            <w:tcW w:type="dxa" w:w="1247"/>
            <w:tcMar>
              <w:top w:w="70" w:type="dxa"/>
              <w:start w:w="80" w:type="dxa"/>
              <w:bottom w:w="70" w:type="dxa"/>
              <w:end w:w="80" w:type="dxa"/>
            </w:tcMar>
            <w:vAlign w:val="center"/>
          </w:tcPr>
          <w:p>
            <w:pPr>
              <w:jc w:val="left"/>
            </w:pPr>
            <w:r>
              <w:rPr>
                <w:sz w:val="15"/>
              </w:rPr>
              <w:t>A</w:t>
            </w:r>
          </w:p>
        </w:tc>
        <w:tc>
          <w:tcPr>
            <w:tcW w:type="dxa" w:w="1247"/>
            <w:tcMar>
              <w:top w:w="70" w:type="dxa"/>
              <w:start w:w="80" w:type="dxa"/>
              <w:bottom w:w="70" w:type="dxa"/>
              <w:end w:w="80" w:type="dxa"/>
            </w:tcMar>
            <w:vAlign w:val="center"/>
          </w:tcPr>
          <w:p>
            <w:pPr>
              <w:jc w:val="left"/>
            </w:pPr>
            <w:r>
              <w:rPr>
                <w:sz w:val="15"/>
              </w:rPr>
              <w:t>C</w:t>
            </w:r>
          </w:p>
        </w:tc>
        <w:tc>
          <w:tcPr>
            <w:tcW w:type="dxa" w:w="1361"/>
            <w:tcMar>
              <w:top w:w="70" w:type="dxa"/>
              <w:start w:w="80" w:type="dxa"/>
              <w:bottom w:w="70" w:type="dxa"/>
              <w:end w:w="80" w:type="dxa"/>
            </w:tcMar>
            <w:vAlign w:val="center"/>
          </w:tcPr>
          <w:p>
            <w:pPr>
              <w:jc w:val="left"/>
            </w:pPr>
            <w:r>
              <w:rPr>
                <w:sz w:val="15"/>
              </w:rPr>
              <w:t>I</w:t>
            </w:r>
          </w:p>
        </w:tc>
        <w:tc>
          <w:tcPr>
            <w:tcW w:type="dxa" w:w="1191"/>
            <w:tcMar>
              <w:top w:w="70" w:type="dxa"/>
              <w:start w:w="80" w:type="dxa"/>
              <w:bottom w:w="70" w:type="dxa"/>
              <w:end w:w="80" w:type="dxa"/>
            </w:tcMar>
            <w:vAlign w:val="center"/>
          </w:tcPr>
          <w:p>
            <w:pPr>
              <w:jc w:val="left"/>
            </w:pPr>
            <w:r>
              <w:rPr>
                <w:sz w:val="15"/>
              </w:rPr>
              <w:t>R</w:t>
            </w:r>
          </w:p>
        </w:tc>
        <w:tc>
          <w:tcPr>
            <w:tcW w:type="dxa" w:w="1417"/>
            <w:tcMar>
              <w:top w:w="70" w:type="dxa"/>
              <w:start w:w="80" w:type="dxa"/>
              <w:bottom w:w="70" w:type="dxa"/>
              <w:end w:w="80" w:type="dxa"/>
            </w:tcMar>
            <w:vAlign w:val="center"/>
          </w:tcPr>
          <w:p>
            <w:pPr>
              <w:jc w:val="left"/>
            </w:pPr>
            <w:r>
              <w:rPr>
                <w:sz w:val="15"/>
              </w:rPr>
              <w:t>I</w:t>
            </w:r>
          </w:p>
        </w:tc>
      </w:tr>
      <w:tr>
        <w:tc>
          <w:tcPr>
            <w:tcW w:type="dxa" w:w="2381"/>
            <w:tcMar>
              <w:top w:w="70" w:type="dxa"/>
              <w:start w:w="80" w:type="dxa"/>
              <w:bottom w:w="70" w:type="dxa"/>
              <w:end w:w="80" w:type="dxa"/>
            </w:tcMar>
            <w:vAlign w:val="center"/>
            <w:shd w:fill="F9FBFC"/>
          </w:tcPr>
          <w:p>
            <w:pPr>
              <w:jc w:val="left"/>
            </w:pPr>
            <w:r>
              <w:rPr>
                <w:sz w:val="15"/>
              </w:rPr>
              <w:t>Archivage et audit</w:t>
            </w:r>
          </w:p>
        </w:tc>
        <w:tc>
          <w:tcPr>
            <w:tcW w:type="dxa" w:w="1361"/>
            <w:tcMar>
              <w:top w:w="70" w:type="dxa"/>
              <w:start w:w="80" w:type="dxa"/>
              <w:bottom w:w="70" w:type="dxa"/>
              <w:end w:w="80" w:type="dxa"/>
            </w:tcMar>
            <w:vAlign w:val="center"/>
            <w:shd w:fill="F9FBFC"/>
          </w:tcPr>
          <w:p>
            <w:pPr>
              <w:jc w:val="left"/>
            </w:pPr>
            <w:r>
              <w:rPr>
                <w:sz w:val="15"/>
              </w:rPr>
              <w:t>I</w:t>
            </w:r>
          </w:p>
        </w:tc>
        <w:tc>
          <w:tcPr>
            <w:tcW w:type="dxa" w:w="1247"/>
            <w:tcMar>
              <w:top w:w="70" w:type="dxa"/>
              <w:start w:w="80" w:type="dxa"/>
              <w:bottom w:w="70" w:type="dxa"/>
              <w:end w:w="80" w:type="dxa"/>
            </w:tcMar>
            <w:vAlign w:val="center"/>
            <w:shd w:fill="F9FBFC"/>
          </w:tcPr>
          <w:p>
            <w:pPr>
              <w:jc w:val="left"/>
            </w:pPr>
            <w:r>
              <w:rPr>
                <w:sz w:val="15"/>
              </w:rPr>
              <w:t>A</w:t>
            </w:r>
          </w:p>
        </w:tc>
        <w:tc>
          <w:tcPr>
            <w:tcW w:type="dxa" w:w="1247"/>
            <w:tcMar>
              <w:top w:w="70" w:type="dxa"/>
              <w:start w:w="80" w:type="dxa"/>
              <w:bottom w:w="70" w:type="dxa"/>
              <w:end w:w="80" w:type="dxa"/>
            </w:tcMar>
            <w:vAlign w:val="center"/>
            <w:shd w:fill="F9FBFC"/>
          </w:tcPr>
          <w:p>
            <w:pPr>
              <w:jc w:val="left"/>
            </w:pPr>
            <w:r>
              <w:rPr>
                <w:sz w:val="15"/>
              </w:rPr>
              <w:t>C</w:t>
            </w:r>
          </w:p>
        </w:tc>
        <w:tc>
          <w:tcPr>
            <w:tcW w:type="dxa" w:w="1361"/>
            <w:tcMar>
              <w:top w:w="70" w:type="dxa"/>
              <w:start w:w="80" w:type="dxa"/>
              <w:bottom w:w="70" w:type="dxa"/>
              <w:end w:w="80" w:type="dxa"/>
            </w:tcMar>
            <w:vAlign w:val="center"/>
            <w:shd w:fill="F9FBFC"/>
          </w:tcPr>
          <w:p>
            <w:pPr>
              <w:jc w:val="left"/>
            </w:pPr>
            <w:r>
              <w:rPr>
                <w:sz w:val="15"/>
              </w:rPr>
              <w:t>C</w:t>
            </w:r>
          </w:p>
        </w:tc>
        <w:tc>
          <w:tcPr>
            <w:tcW w:type="dxa" w:w="1191"/>
            <w:tcMar>
              <w:top w:w="70" w:type="dxa"/>
              <w:start w:w="80" w:type="dxa"/>
              <w:bottom w:w="70" w:type="dxa"/>
              <w:end w:w="80" w:type="dxa"/>
            </w:tcMar>
            <w:vAlign w:val="center"/>
            <w:shd w:fill="F9FBFC"/>
          </w:tcPr>
          <w:p>
            <w:pPr>
              <w:jc w:val="left"/>
            </w:pPr>
            <w:r>
              <w:rPr>
                <w:sz w:val="15"/>
              </w:rPr>
              <w:t>R</w:t>
            </w:r>
          </w:p>
        </w:tc>
        <w:tc>
          <w:tcPr>
            <w:tcW w:type="dxa" w:w="1417"/>
            <w:tcMar>
              <w:top w:w="70" w:type="dxa"/>
              <w:start w:w="80" w:type="dxa"/>
              <w:bottom w:w="70" w:type="dxa"/>
              <w:end w:w="80" w:type="dxa"/>
            </w:tcMar>
            <w:vAlign w:val="center"/>
            <w:shd w:fill="F9FBFC"/>
          </w:tcPr>
          <w:p>
            <w:pPr>
              <w:jc w:val="left"/>
            </w:pPr>
            <w:r>
              <w:rPr>
                <w:sz w:val="15"/>
              </w:rPr>
              <w:t>I</w:t>
            </w:r>
          </w:p>
        </w:tc>
      </w:tr>
    </w:tbl>
    <w:p/>
    <w:p>
      <w:pPr>
        <w:pStyle w:val="Titre1"/>
        <w:keepNext/>
        <w:pageBreakBefore/>
      </w:pPr>
      <w:r>
        <w:t>15. LOGIGRAMME</w:t>
      </w:r>
    </w:p>
    <w:p>
      <w:pPr>
        <w:ind w:left="283"/>
      </w:pPr>
      <w:r>
        <w:rPr>
          <w:rFonts w:ascii="Courier New" w:hAnsi="Courier New"/>
          <w:sz w:val="20"/>
        </w:rPr>
        <w:t>Collecte / demande de mise à jour</w:t>
      </w:r>
    </w:p>
    <w:p>
      <w:pPr>
        <w:ind w:left="283"/>
      </w:pPr>
      <w:r>
        <w:rPr>
          <w:rFonts w:ascii="Courier New" w:hAnsi="Courier New"/>
          <w:sz w:val="20"/>
        </w:rPr>
        <w:t xml:space="preserve">        -&gt; Soumission recevable</w:t>
      </w:r>
    </w:p>
    <w:p>
      <w:pPr>
        <w:ind w:left="283"/>
      </w:pPr>
      <w:r>
        <w:rPr>
          <w:rFonts w:ascii="Courier New" w:hAnsi="Courier New"/>
          <w:sz w:val="20"/>
        </w:rPr>
        <w:t xml:space="preserve">        -&gt; Affectation au vérificateur</w:t>
      </w:r>
    </w:p>
    <w:p>
      <w:pPr>
        <w:ind w:left="283"/>
      </w:pPr>
      <w:r>
        <w:rPr>
          <w:rFonts w:ascii="Courier New" w:hAnsi="Courier New"/>
          <w:sz w:val="20"/>
        </w:rPr>
        <w:t xml:space="preserve">        -&gt; Vérification documentaire, cohérence, doublons et authenticité</w:t>
      </w:r>
    </w:p>
    <w:p>
      <w:pPr>
        <w:ind w:left="283"/>
      </w:pPr>
      <w:r>
        <w:rPr>
          <w:rFonts w:ascii="Courier New" w:hAnsi="Courier New"/>
          <w:sz w:val="20"/>
        </w:rPr>
        <w:t xml:space="preserve">              -&gt; Dossier incomplet : correction -&gt; resoumission</w:t>
      </w:r>
    </w:p>
    <w:p>
      <w:pPr>
        <w:ind w:left="283"/>
      </w:pPr>
      <w:r>
        <w:rPr>
          <w:rFonts w:ascii="Courier New" w:hAnsi="Courier New"/>
          <w:sz w:val="20"/>
        </w:rPr>
        <w:t xml:space="preserve">              -&gt; Dossier suspect : escalade -&gt; décision spécifique</w:t>
      </w:r>
    </w:p>
    <w:p>
      <w:pPr>
        <w:ind w:left="283"/>
      </w:pPr>
      <w:r>
        <w:rPr>
          <w:rFonts w:ascii="Courier New" w:hAnsi="Courier New"/>
          <w:sz w:val="20"/>
        </w:rPr>
        <w:t xml:space="preserve">              -&gt; Dossier vérifiable : avis technique</w:t>
      </w:r>
    </w:p>
    <w:p>
      <w:pPr>
        <w:ind w:left="283"/>
      </w:pPr>
      <w:r>
        <w:rPr>
          <w:rFonts w:ascii="Courier New" w:hAnsi="Courier New"/>
          <w:sz w:val="20"/>
        </w:rPr>
        <w:t xml:space="preserve">        -&gt; Contrôle FUCCS versionné</w:t>
      </w:r>
    </w:p>
    <w:p>
      <w:pPr>
        <w:ind w:left="283"/>
      </w:pPr>
      <w:r>
        <w:rPr>
          <w:rFonts w:ascii="Courier New" w:hAnsi="Courier New"/>
          <w:sz w:val="20"/>
        </w:rPr>
        <w:t xml:space="preserve">        -&gt; Revue technique de premier niveau</w:t>
      </w:r>
    </w:p>
    <w:p>
      <w:pPr>
        <w:ind w:left="283"/>
      </w:pPr>
      <w:r>
        <w:rPr>
          <w:rFonts w:ascii="Courier New" w:hAnsi="Courier New"/>
          <w:sz w:val="20"/>
        </w:rPr>
        <w:t xml:space="preserve">        -&gt; Validation définitive de second niveau</w:t>
      </w:r>
    </w:p>
    <w:p>
      <w:pPr>
        <w:ind w:left="283"/>
      </w:pPr>
      <w:r>
        <w:rPr>
          <w:rFonts w:ascii="Courier New" w:hAnsi="Courier New"/>
          <w:sz w:val="20"/>
        </w:rPr>
        <w:t xml:space="preserve">              -&gt; Ajourné : correction -&gt; nouvelle revue</w:t>
      </w:r>
    </w:p>
    <w:p>
      <w:pPr>
        <w:ind w:left="283"/>
      </w:pPr>
      <w:r>
        <w:rPr>
          <w:rFonts w:ascii="Courier New" w:hAnsi="Courier New"/>
          <w:sz w:val="20"/>
        </w:rPr>
        <w:t xml:space="preserve">              -&gt; Rejeté : clôture motivée -&gt; archivage</w:t>
      </w:r>
    </w:p>
    <w:p>
      <w:pPr>
        <w:ind w:left="283"/>
      </w:pPr>
      <w:r>
        <w:rPr>
          <w:rFonts w:ascii="Courier New" w:hAnsi="Courier New"/>
          <w:sz w:val="20"/>
        </w:rPr>
        <w:t xml:space="preserve">              -&gt; Validé / validé sous réserve : transfert vers intégration BNEC</w:t>
      </w:r>
    </w:p>
    <w:p>
      <w:pPr>
        <w:ind w:left="283"/>
      </w:pPr>
      <w:r>
        <w:rPr>
          <w:rFonts w:ascii="Courier New" w:hAnsi="Courier New"/>
          <w:sz w:val="20"/>
        </w:rPr>
        <w:t xml:space="preserve">        -&gt; Précontrôle -&gt; codification -&gt; intégration -&gt; postcontrôle</w:t>
      </w:r>
    </w:p>
    <w:p>
      <w:pPr>
        <w:ind w:left="283"/>
      </w:pPr>
      <w:r>
        <w:rPr>
          <w:rFonts w:ascii="Courier New" w:hAnsi="Courier New"/>
          <w:sz w:val="20"/>
        </w:rPr>
        <w:t xml:space="preserve">        -&gt; Classification entreprise / INFC / SNCC -&gt; veille et alertes</w:t>
      </w:r>
    </w:p>
    <w:p>
      <w:pPr>
        <w:pStyle w:val="Titre1"/>
        <w:keepNext/>
      </w:pPr>
      <w:r>
        <w:t>16. DISPOSITIONS FINALES</w:t>
      </w:r>
    </w:p>
    <w:p>
      <w:pPr>
        <w:jc w:val="both"/>
      </w:pPr>
      <w:r>
        <w:rPr>
          <w:i w:val="0"/>
        </w:rPr>
        <w:t>La présente procédure entre en vigueur après son approbation formelle par la HAUQE. Elle est révisée au moins une fois par an ou lorsque l'évolution des règles métier, de l'organisation, des référentiels ou du système d'information le justifie.</w:t>
      </w:r>
    </w:p>
    <w:p>
      <w:pPr>
        <w:jc w:val="both"/>
      </w:pPr>
      <w:r>
        <w:rPr>
          <w:i w:val="0"/>
        </w:rPr>
        <w:t>Toute modification de la procédure, des délais, des statuts, des grilles ou des niveaux de validation doit être versionnée, autorisée et enregistrée. Une version publiée ne doit pas être modifiée silencieusement.</w:t>
      </w:r>
    </w:p>
    <w:p>
      <w:pPr>
        <w:jc w:val="both"/>
      </w:pPr>
      <w:r>
        <w:rPr>
          <w:i w:val="0"/>
        </w:rPr>
        <w:t>Le respect de cette procédure est obligatoire pour toute personne habilitée à vérifier, contrôler, valider, intégrer, consulter ou administrer les données de la BNEC.</w:t>
      </w:r>
    </w:p>
    <w:p>
      <w:pPr>
        <w:jc w:val="both"/>
      </w:pPr>
      <w:r>
        <w:rPr>
          <w:i w:val="0"/>
        </w:rPr>
        <w:t>Les points non définitivement arbitrés restent configurables et doivent être inscrits dans le registre des décisions et la recette fonctionnelle avant leur activation.</w:t>
      </w:r>
    </w:p>
    <w:p>
      <w:pPr>
        <w:pStyle w:val="Titre2"/>
        <w:keepNext/>
        <w:pageBreakBefore/>
      </w:pPr>
      <w:r>
        <w:t>APPROBATION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81"/>
        <w:gridCol w:w="2381"/>
        <w:gridCol w:w="2381"/>
        <w:gridCol w:w="2381"/>
      </w:tblGrid>
      <w:tr>
        <w:trPr>
          <w:tblHeader w:val="true"/>
        </w:trPr>
        <w:tc>
          <w:tcPr>
            <w:tcW w:type="dxa" w:w="3061"/>
            <w:shd w:fill="D9EAF7"/>
            <w:tcMar>
              <w:top w:w="70" w:type="dxa"/>
              <w:start w:w="80" w:type="dxa"/>
              <w:bottom w:w="70" w:type="dxa"/>
              <w:end w:w="80" w:type="dxa"/>
            </w:tcMar>
            <w:vAlign w:val="center"/>
          </w:tcPr>
          <w:p>
            <w:pPr>
              <w:jc w:val="center"/>
            </w:pPr>
            <w:r>
              <w:rPr>
                <w:b/>
                <w:sz w:val="18"/>
              </w:rPr>
              <w:t>Fonction</w:t>
            </w:r>
          </w:p>
        </w:tc>
        <w:tc>
          <w:tcPr>
            <w:tcW w:type="dxa" w:w="2381"/>
            <w:shd w:fill="D9EAF7"/>
            <w:tcMar>
              <w:top w:w="70" w:type="dxa"/>
              <w:start w:w="80" w:type="dxa"/>
              <w:bottom w:w="70" w:type="dxa"/>
              <w:end w:w="80" w:type="dxa"/>
            </w:tcMar>
            <w:vAlign w:val="center"/>
          </w:tcPr>
          <w:p>
            <w:pPr>
              <w:jc w:val="center"/>
            </w:pPr>
            <w:r>
              <w:rPr>
                <w:b/>
                <w:sz w:val="18"/>
              </w:rPr>
              <w:t>Nom et prénom</w:t>
            </w:r>
          </w:p>
        </w:tc>
        <w:tc>
          <w:tcPr>
            <w:tcW w:type="dxa" w:w="2381"/>
            <w:shd w:fill="D9EAF7"/>
            <w:tcMar>
              <w:top w:w="70" w:type="dxa"/>
              <w:start w:w="80" w:type="dxa"/>
              <w:bottom w:w="70" w:type="dxa"/>
              <w:end w:w="80" w:type="dxa"/>
            </w:tcMar>
            <w:vAlign w:val="center"/>
          </w:tcPr>
          <w:p>
            <w:pPr>
              <w:jc w:val="center"/>
            </w:pPr>
            <w:r>
              <w:rPr>
                <w:b/>
                <w:sz w:val="18"/>
              </w:rPr>
              <w:t>Visa / signature</w:t>
            </w:r>
          </w:p>
        </w:tc>
        <w:tc>
          <w:tcPr>
            <w:tcW w:type="dxa" w:w="1474"/>
            <w:shd w:fill="D9EAF7"/>
            <w:tcMar>
              <w:top w:w="70" w:type="dxa"/>
              <w:start w:w="80" w:type="dxa"/>
              <w:bottom w:w="70" w:type="dxa"/>
              <w:end w:w="80" w:type="dxa"/>
            </w:tcMar>
            <w:vAlign w:val="center"/>
          </w:tcPr>
          <w:p>
            <w:pPr>
              <w:jc w:val="center"/>
            </w:pPr>
            <w:r>
              <w:rPr>
                <w:b/>
                <w:sz w:val="18"/>
              </w:rPr>
              <w:t>Date</w:t>
            </w:r>
          </w:p>
        </w:tc>
      </w:tr>
      <w:tr>
        <w:tc>
          <w:tcPr>
            <w:tcW w:type="dxa" w:w="3061"/>
            <w:tcMar>
              <w:top w:w="70" w:type="dxa"/>
              <w:start w:w="80" w:type="dxa"/>
              <w:bottom w:w="70" w:type="dxa"/>
              <w:end w:w="80" w:type="dxa"/>
            </w:tcMar>
            <w:vAlign w:val="center"/>
          </w:tcPr>
          <w:p>
            <w:pPr>
              <w:jc w:val="left"/>
            </w:pPr>
            <w:r>
              <w:rPr>
                <w:sz w:val="18"/>
              </w:rPr>
              <w:t>Élaboré par</w:t>
            </w:r>
          </w:p>
        </w:tc>
        <w:tc>
          <w:tcPr>
            <w:tcW w:type="dxa" w:w="2381"/>
            <w:tcMar>
              <w:top w:w="70" w:type="dxa"/>
              <w:start w:w="80" w:type="dxa"/>
              <w:bottom w:w="70" w:type="dxa"/>
              <w:end w:w="80" w:type="dxa"/>
            </w:tcMar>
            <w:vAlign w:val="center"/>
          </w:tcPr>
          <w:p>
            <w:pPr>
              <w:jc w:val="left"/>
            </w:pPr>
            <w:r>
              <w:rPr>
                <w:sz w:val="18"/>
              </w:rPr>
            </w:r>
          </w:p>
        </w:tc>
        <w:tc>
          <w:tcPr>
            <w:tcW w:type="dxa" w:w="2381"/>
            <w:tcMar>
              <w:top w:w="70" w:type="dxa"/>
              <w:start w:w="80" w:type="dxa"/>
              <w:bottom w:w="70" w:type="dxa"/>
              <w:end w:w="80" w:type="dxa"/>
            </w:tcMar>
            <w:vAlign w:val="center"/>
          </w:tcPr>
          <w:p>
            <w:pPr>
              <w:jc w:val="left"/>
            </w:pPr>
            <w:r>
              <w:rPr>
                <w:sz w:val="18"/>
              </w:rPr>
            </w:r>
          </w:p>
        </w:tc>
        <w:tc>
          <w:tcPr>
            <w:tcW w:type="dxa" w:w="1474"/>
            <w:tcMar>
              <w:top w:w="70" w:type="dxa"/>
              <w:start w:w="80" w:type="dxa"/>
              <w:bottom w:w="70" w:type="dxa"/>
              <w:end w:w="80" w:type="dxa"/>
            </w:tcMar>
            <w:vAlign w:val="center"/>
          </w:tcPr>
          <w:p>
            <w:pPr>
              <w:jc w:val="left"/>
            </w:pPr>
            <w:r>
              <w:rPr>
                <w:sz w:val="18"/>
              </w:rPr>
            </w:r>
          </w:p>
        </w:tc>
      </w:tr>
      <w:tr>
        <w:tc>
          <w:tcPr>
            <w:tcW w:type="dxa" w:w="3061"/>
            <w:tcMar>
              <w:top w:w="70" w:type="dxa"/>
              <w:start w:w="80" w:type="dxa"/>
              <w:bottom w:w="70" w:type="dxa"/>
              <w:end w:w="80" w:type="dxa"/>
            </w:tcMar>
            <w:vAlign w:val="center"/>
            <w:shd w:fill="F9FBFC"/>
          </w:tcPr>
          <w:p>
            <w:pPr>
              <w:jc w:val="left"/>
            </w:pPr>
            <w:r>
              <w:rPr>
                <w:sz w:val="18"/>
              </w:rPr>
              <w:t>Revu par le Point focal BNEC</w:t>
            </w:r>
          </w:p>
        </w:tc>
        <w:tc>
          <w:tcPr>
            <w:tcW w:type="dxa" w:w="2381"/>
            <w:tcMar>
              <w:top w:w="70" w:type="dxa"/>
              <w:start w:w="80" w:type="dxa"/>
              <w:bottom w:w="70" w:type="dxa"/>
              <w:end w:w="80" w:type="dxa"/>
            </w:tcMar>
            <w:vAlign w:val="center"/>
            <w:shd w:fill="F9FBFC"/>
          </w:tcPr>
          <w:p>
            <w:pPr>
              <w:jc w:val="left"/>
            </w:pPr>
            <w:r>
              <w:rPr>
                <w:sz w:val="18"/>
              </w:rPr>
            </w:r>
          </w:p>
        </w:tc>
        <w:tc>
          <w:tcPr>
            <w:tcW w:type="dxa" w:w="2381"/>
            <w:tcMar>
              <w:top w:w="70" w:type="dxa"/>
              <w:start w:w="80" w:type="dxa"/>
              <w:bottom w:w="70" w:type="dxa"/>
              <w:end w:w="80" w:type="dxa"/>
            </w:tcMar>
            <w:vAlign w:val="center"/>
            <w:shd w:fill="F9FBFC"/>
          </w:tcPr>
          <w:p>
            <w:pPr>
              <w:jc w:val="left"/>
            </w:pPr>
            <w:r>
              <w:rPr>
                <w:sz w:val="18"/>
              </w:rPr>
            </w:r>
          </w:p>
        </w:tc>
        <w:tc>
          <w:tcPr>
            <w:tcW w:type="dxa" w:w="1474"/>
            <w:tcMar>
              <w:top w:w="70" w:type="dxa"/>
              <w:start w:w="80" w:type="dxa"/>
              <w:bottom w:w="70" w:type="dxa"/>
              <w:end w:w="80" w:type="dxa"/>
            </w:tcMar>
            <w:vAlign w:val="center"/>
            <w:shd w:fill="F9FBFC"/>
          </w:tcPr>
          <w:p>
            <w:pPr>
              <w:jc w:val="left"/>
            </w:pPr>
            <w:r>
              <w:rPr>
                <w:sz w:val="18"/>
              </w:rPr>
            </w:r>
          </w:p>
        </w:tc>
      </w:tr>
      <w:tr>
        <w:tc>
          <w:tcPr>
            <w:tcW w:type="dxa" w:w="3061"/>
            <w:tcMar>
              <w:top w:w="70" w:type="dxa"/>
              <w:start w:w="80" w:type="dxa"/>
              <w:bottom w:w="70" w:type="dxa"/>
              <w:end w:w="80" w:type="dxa"/>
            </w:tcMar>
            <w:vAlign w:val="center"/>
          </w:tcPr>
          <w:p>
            <w:pPr>
              <w:jc w:val="left"/>
            </w:pPr>
            <w:r>
              <w:rPr>
                <w:sz w:val="18"/>
              </w:rPr>
              <w:t>Validé par la Direction Technique</w:t>
            </w:r>
          </w:p>
        </w:tc>
        <w:tc>
          <w:tcPr>
            <w:tcW w:type="dxa" w:w="2381"/>
            <w:tcMar>
              <w:top w:w="70" w:type="dxa"/>
              <w:start w:w="80" w:type="dxa"/>
              <w:bottom w:w="70" w:type="dxa"/>
              <w:end w:w="80" w:type="dxa"/>
            </w:tcMar>
            <w:vAlign w:val="center"/>
          </w:tcPr>
          <w:p>
            <w:pPr>
              <w:jc w:val="left"/>
            </w:pPr>
            <w:r>
              <w:rPr>
                <w:sz w:val="18"/>
              </w:rPr>
            </w:r>
          </w:p>
        </w:tc>
        <w:tc>
          <w:tcPr>
            <w:tcW w:type="dxa" w:w="2381"/>
            <w:tcMar>
              <w:top w:w="70" w:type="dxa"/>
              <w:start w:w="80" w:type="dxa"/>
              <w:bottom w:w="70" w:type="dxa"/>
              <w:end w:w="80" w:type="dxa"/>
            </w:tcMar>
            <w:vAlign w:val="center"/>
          </w:tcPr>
          <w:p>
            <w:pPr>
              <w:jc w:val="left"/>
            </w:pPr>
            <w:r>
              <w:rPr>
                <w:sz w:val="18"/>
              </w:rPr>
            </w:r>
          </w:p>
        </w:tc>
        <w:tc>
          <w:tcPr>
            <w:tcW w:type="dxa" w:w="1474"/>
            <w:tcMar>
              <w:top w:w="70" w:type="dxa"/>
              <w:start w:w="80" w:type="dxa"/>
              <w:bottom w:w="70" w:type="dxa"/>
              <w:end w:w="80" w:type="dxa"/>
            </w:tcMar>
            <w:vAlign w:val="center"/>
          </w:tcPr>
          <w:p>
            <w:pPr>
              <w:jc w:val="left"/>
            </w:pPr>
            <w:r>
              <w:rPr>
                <w:sz w:val="18"/>
              </w:rPr>
            </w:r>
          </w:p>
        </w:tc>
      </w:tr>
      <w:tr>
        <w:tc>
          <w:tcPr>
            <w:tcW w:type="dxa" w:w="3061"/>
            <w:tcMar>
              <w:top w:w="70" w:type="dxa"/>
              <w:start w:w="80" w:type="dxa"/>
              <w:bottom w:w="70" w:type="dxa"/>
              <w:end w:w="80" w:type="dxa"/>
            </w:tcMar>
            <w:vAlign w:val="center"/>
            <w:shd w:fill="F9FBFC"/>
          </w:tcPr>
          <w:p>
            <w:pPr>
              <w:jc w:val="left"/>
            </w:pPr>
            <w:r>
              <w:rPr>
                <w:sz w:val="18"/>
              </w:rPr>
              <w:t>Approuvé par l’autorité compétente</w:t>
            </w:r>
          </w:p>
        </w:tc>
        <w:tc>
          <w:tcPr>
            <w:tcW w:type="dxa" w:w="2381"/>
            <w:tcMar>
              <w:top w:w="70" w:type="dxa"/>
              <w:start w:w="80" w:type="dxa"/>
              <w:bottom w:w="70" w:type="dxa"/>
              <w:end w:w="80" w:type="dxa"/>
            </w:tcMar>
            <w:vAlign w:val="center"/>
            <w:shd w:fill="F9FBFC"/>
          </w:tcPr>
          <w:p>
            <w:pPr>
              <w:jc w:val="left"/>
            </w:pPr>
            <w:r>
              <w:rPr>
                <w:sz w:val="18"/>
              </w:rPr>
            </w:r>
          </w:p>
        </w:tc>
        <w:tc>
          <w:tcPr>
            <w:tcW w:type="dxa" w:w="2381"/>
            <w:tcMar>
              <w:top w:w="70" w:type="dxa"/>
              <w:start w:w="80" w:type="dxa"/>
              <w:bottom w:w="70" w:type="dxa"/>
              <w:end w:w="80" w:type="dxa"/>
            </w:tcMar>
            <w:vAlign w:val="center"/>
            <w:shd w:fill="F9FBFC"/>
          </w:tcPr>
          <w:p>
            <w:pPr>
              <w:jc w:val="left"/>
            </w:pPr>
            <w:r>
              <w:rPr>
                <w:sz w:val="18"/>
              </w:rPr>
            </w:r>
          </w:p>
        </w:tc>
        <w:tc>
          <w:tcPr>
            <w:tcW w:type="dxa" w:w="1474"/>
            <w:tcMar>
              <w:top w:w="70" w:type="dxa"/>
              <w:start w:w="80" w:type="dxa"/>
              <w:bottom w:w="70" w:type="dxa"/>
              <w:end w:w="80" w:type="dxa"/>
            </w:tcMar>
            <w:vAlign w:val="center"/>
            <w:shd w:fill="F9FBFC"/>
          </w:tcPr>
          <w:p>
            <w:pPr>
              <w:jc w:val="left"/>
            </w:pPr>
            <w:r>
              <w:rPr>
                <w:sz w:val="18"/>
              </w:rPr>
            </w:r>
          </w:p>
        </w:tc>
      </w:tr>
    </w:tbl>
    <w:p/>
    <w:sectPr w:rsidR="00886CA7">
      <w:headerReference w:type="default" r:id="rId7"/>
      <w:footerReference w:type="default" r:id="rId8"/>
      <w:pgSz w:w="11906" w:h="16838"/>
      <w:pgMar w:top="1134" w:right="1134" w:bottom="1020"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D4B1" w14:textId="77777777" w:rsidR="008E398B" w:rsidRDefault="008E398B">
      <w:pPr>
        <w:spacing w:after="0" w:line="240" w:lineRule="auto"/>
      </w:pPr>
      <w:r>
        <w:separator/>
      </w:r>
    </w:p>
  </w:endnote>
  <w:endnote w:type="continuationSeparator" w:id="0">
    <w:p w14:paraId="1B87806A" w14:textId="77777777" w:rsidR="008E398B" w:rsidRDefault="008E3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323F" w14:textId="77777777" w:rsidR="00F90501" w:rsidRDefault="00420EFA">
    <w:pPr>
      <w:jc w:val="center"/>
    </w:pPr>
    <w:r>
      <w:rPr>
        <w:sz w:val="18"/>
      </w:rPr>
      <w:t xml:space="preserve">Page </w:t>
    </w:r>
    <w:r>
      <w:rPr>
        <w:sz w:val="18"/>
      </w:rPr>
      <w:fldChar w:fldCharType="begin"/>
    </w:r>
    <w:r>
      <w:rPr>
        <w:sz w:val="18"/>
      </w:rPr>
      <w:instrText xml:space="preserve"> PAGE </w:instrText>
    </w:r>
    <w:r>
      <w:rPr>
        <w:sz w:val="18"/>
      </w:rPr>
      <w:fldChar w:fldCharType="separate"/>
    </w:r>
    <w:r w:rsidR="006374D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399C1" w14:textId="77777777" w:rsidR="008E398B" w:rsidRDefault="008E398B">
      <w:pPr>
        <w:spacing w:after="0" w:line="240" w:lineRule="auto"/>
      </w:pPr>
      <w:r>
        <w:separator/>
      </w:r>
    </w:p>
  </w:footnote>
  <w:footnote w:type="continuationSeparator" w:id="0">
    <w:p w14:paraId="07631FCF" w14:textId="77777777" w:rsidR="008E398B" w:rsidRDefault="008E3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F520" w14:textId="77777777" w:rsidR="00F90501" w:rsidRDefault="00420EFA">
    <w:pPr>
      <w:jc w:val="right"/>
    </w:pPr>
    <w:r>
      <w:rPr>
        <w:color w:val="646464"/>
        <w:sz w:val="16"/>
      </w:rPr>
      <w:t>HAUTE AUTORITÉ DE LA QUALITÉ ET DE L'ENVIRONNEMENT (HAUQE)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566D"/>
    <w:multiLevelType w:val="multilevel"/>
    <w:tmpl w:val="B06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F58C2"/>
    <w:multiLevelType w:val="multilevel"/>
    <w:tmpl w:val="B20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C132F"/>
    <w:multiLevelType w:val="multilevel"/>
    <w:tmpl w:val="6AF8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C5A2D"/>
    <w:multiLevelType w:val="multilevel"/>
    <w:tmpl w:val="786A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2096A"/>
    <w:multiLevelType w:val="multilevel"/>
    <w:tmpl w:val="B0A6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7253B"/>
    <w:multiLevelType w:val="multilevel"/>
    <w:tmpl w:val="081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04AB0"/>
    <w:multiLevelType w:val="multilevel"/>
    <w:tmpl w:val="FB5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B1AE5"/>
    <w:multiLevelType w:val="multilevel"/>
    <w:tmpl w:val="F194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76D92"/>
    <w:multiLevelType w:val="multilevel"/>
    <w:tmpl w:val="AEF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D4338F7"/>
    <w:multiLevelType w:val="multilevel"/>
    <w:tmpl w:val="25C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666AE"/>
    <w:multiLevelType w:val="multilevel"/>
    <w:tmpl w:val="CB7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E1235"/>
    <w:multiLevelType w:val="multilevel"/>
    <w:tmpl w:val="4A3E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B22A3"/>
    <w:multiLevelType w:val="multilevel"/>
    <w:tmpl w:val="E4D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6A76CFD"/>
    <w:multiLevelType w:val="multilevel"/>
    <w:tmpl w:val="F59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AD6323"/>
    <w:multiLevelType w:val="multilevel"/>
    <w:tmpl w:val="02B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E5C1D"/>
    <w:multiLevelType w:val="multilevel"/>
    <w:tmpl w:val="17B6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14"/>
  </w:num>
  <w:num w:numId="2" w16cid:durableId="1193958574">
    <w:abstractNumId w:val="9"/>
  </w:num>
  <w:num w:numId="3" w16cid:durableId="1080832929">
    <w:abstractNumId w:val="3"/>
  </w:num>
  <w:num w:numId="4" w16cid:durableId="305595245">
    <w:abstractNumId w:val="13"/>
  </w:num>
  <w:num w:numId="5" w16cid:durableId="1708335776">
    <w:abstractNumId w:val="5"/>
  </w:num>
  <w:num w:numId="6" w16cid:durableId="2093702118">
    <w:abstractNumId w:val="2"/>
  </w:num>
  <w:num w:numId="7" w16cid:durableId="858200710">
    <w:abstractNumId w:val="11"/>
  </w:num>
  <w:num w:numId="8" w16cid:durableId="58552479">
    <w:abstractNumId w:val="8"/>
  </w:num>
  <w:num w:numId="9" w16cid:durableId="1075125241">
    <w:abstractNumId w:val="10"/>
  </w:num>
  <w:num w:numId="10" w16cid:durableId="159732473">
    <w:abstractNumId w:val="15"/>
  </w:num>
  <w:num w:numId="11" w16cid:durableId="956448211">
    <w:abstractNumId w:val="16"/>
  </w:num>
  <w:num w:numId="12" w16cid:durableId="1259870303">
    <w:abstractNumId w:val="1"/>
  </w:num>
  <w:num w:numId="13" w16cid:durableId="478544351">
    <w:abstractNumId w:val="7"/>
  </w:num>
  <w:num w:numId="14" w16cid:durableId="2058577882">
    <w:abstractNumId w:val="17"/>
  </w:num>
  <w:num w:numId="15" w16cid:durableId="1289167760">
    <w:abstractNumId w:val="12"/>
  </w:num>
  <w:num w:numId="16" w16cid:durableId="1210149388">
    <w:abstractNumId w:val="0"/>
  </w:num>
  <w:num w:numId="17" w16cid:durableId="334306417">
    <w:abstractNumId w:val="4"/>
  </w:num>
  <w:num w:numId="18" w16cid:durableId="1080643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C14"/>
    <w:rsid w:val="00161EB4"/>
    <w:rsid w:val="00420EFA"/>
    <w:rsid w:val="00555C14"/>
    <w:rsid w:val="006374D7"/>
    <w:rsid w:val="006E1781"/>
    <w:rsid w:val="00886CA7"/>
    <w:rsid w:val="008E398B"/>
    <w:rsid w:val="009244D6"/>
    <w:rsid w:val="00A12350"/>
    <w:rsid w:val="00AC2DB9"/>
    <w:rsid w:val="00E13B89"/>
    <w:rsid w:val="00E97E3B"/>
    <w:rsid w:val="00F905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2845"/>
  <w15:chartTrackingRefBased/>
  <w15:docId w15:val="{12685012-33C9-4764-B9CD-3CF9C089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555C14"/>
    <w:pPr>
      <w:keepNext/>
      <w:keepLines/>
      <w:spacing w:before="280" w:after="160"/>
      <w:outlineLvl w:val="0"/>
    </w:pPr>
    <w:rPr>
      <w:rFonts w:asciiTheme="majorHAnsi" w:eastAsiaTheme="majorEastAsia" w:hAnsiTheme="majorHAnsi" w:cstheme="majorBidi"/>
      <w:b/>
      <w:color w:val="1F4E78"/>
      <w:sz w:val="32"/>
      <w:szCs w:val="40"/>
    </w:rPr>
  </w:style>
  <w:style w:type="paragraph" w:styleId="Titre2">
    <w:name w:val="heading 2"/>
    <w:basedOn w:val="Normal"/>
    <w:next w:val="Normal"/>
    <w:link w:val="Titre2Car"/>
    <w:uiPriority w:val="9"/>
    <w:semiHidden/>
    <w:unhideWhenUsed/>
    <w:qFormat/>
    <w:rsid w:val="00555C14"/>
    <w:pPr>
      <w:keepNext/>
      <w:keepLines/>
      <w:spacing w:before="240"/>
      <w:outlineLvl w:val="1"/>
    </w:pPr>
    <w:rPr>
      <w:rFonts w:asciiTheme="majorHAnsi" w:eastAsiaTheme="majorEastAsia" w:hAnsiTheme="majorHAnsi" w:cstheme="majorBidi"/>
      <w:b/>
      <w:color w:val="1F4E78"/>
      <w:sz w:val="28"/>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200" w:after="80" w:line="240" w:lineRule="auto"/>
      <w:ind w:left="720"/>
      <w:outlineLvl w:val="2"/>
    </w:pPr>
    <w:rPr>
      <w:rFonts w:eastAsiaTheme="majorEastAsia" w:cstheme="majorBidi"/>
      <w:b/>
      <w:color w:val="404040"/>
      <w:szCs w:val="24"/>
    </w:rPr>
  </w:style>
  <w:style w:type="paragraph" w:styleId="Titre4">
    <w:name w:val="heading 4"/>
    <w:basedOn w:val="Normal"/>
    <w:next w:val="Normal"/>
    <w:link w:val="Titre4Car"/>
    <w:uiPriority w:val="9"/>
    <w:semiHidden/>
    <w:unhideWhenUsed/>
    <w:qFormat/>
    <w:rsid w:val="00555C1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55C1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55C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5C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5C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5C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555C1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55C14"/>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555C1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55C1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55C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5C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5C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5C14"/>
    <w:rPr>
      <w:rFonts w:eastAsiaTheme="majorEastAsia" w:cstheme="majorBidi"/>
      <w:color w:val="272727" w:themeColor="text1" w:themeTint="D8"/>
    </w:rPr>
  </w:style>
  <w:style w:type="paragraph" w:styleId="Titre">
    <w:name w:val="Title"/>
    <w:basedOn w:val="Normal"/>
    <w:next w:val="Normal"/>
    <w:link w:val="TitreCar"/>
    <w:uiPriority w:val="10"/>
    <w:qFormat/>
    <w:rsid w:val="00555C14"/>
    <w:pPr>
      <w:keepNext/>
      <w:spacing w:after="240" w:line="240" w:lineRule="auto"/>
      <w:contextualSpacing/>
      <w:jc w:val="center"/>
    </w:pPr>
    <w:rPr>
      <w:rFonts w:asciiTheme="majorHAnsi" w:eastAsiaTheme="majorEastAsia" w:hAnsiTheme="majorHAnsi" w:cstheme="majorBidi"/>
      <w:b/>
      <w:color w:val="1F4E78"/>
      <w:spacing w:val="-10"/>
      <w:kern w:val="28"/>
      <w:sz w:val="40"/>
      <w:szCs w:val="56"/>
    </w:rPr>
  </w:style>
  <w:style w:type="character" w:customStyle="1" w:styleId="TitreCar">
    <w:name w:val="Titre Car"/>
    <w:basedOn w:val="Policepardfaut"/>
    <w:link w:val="Titre"/>
    <w:uiPriority w:val="10"/>
    <w:rsid w:val="00555C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5C14"/>
    <w:pPr>
      <w:keepNext/>
      <w:numPr>
        <w:ilvl w:val="1"/>
      </w:numPr>
      <w:spacing w:after="200"/>
      <w:jc w:val="center"/>
    </w:pPr>
    <w:rPr>
      <w:rFonts w:eastAsiaTheme="majorEastAsia" w:cstheme="majorBidi"/>
      <w:color w:val="404040"/>
      <w:spacing w:val="15"/>
      <w:sz w:val="26"/>
      <w:szCs w:val="28"/>
    </w:rPr>
  </w:style>
  <w:style w:type="character" w:customStyle="1" w:styleId="Sous-titreCar">
    <w:name w:val="Sous-titre Car"/>
    <w:basedOn w:val="Policepardfaut"/>
    <w:link w:val="Sous-titre"/>
    <w:uiPriority w:val="11"/>
    <w:rsid w:val="00555C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5C14"/>
    <w:pPr>
      <w:spacing w:before="160"/>
      <w:jc w:val="center"/>
    </w:pPr>
    <w:rPr>
      <w:i/>
      <w:iCs/>
      <w:color w:val="404040" w:themeColor="text1" w:themeTint="BF"/>
    </w:rPr>
  </w:style>
  <w:style w:type="character" w:customStyle="1" w:styleId="CitationCar">
    <w:name w:val="Citation Car"/>
    <w:basedOn w:val="Policepardfaut"/>
    <w:link w:val="Citation"/>
    <w:uiPriority w:val="29"/>
    <w:rsid w:val="00555C14"/>
    <w:rPr>
      <w:i/>
      <w:iCs/>
      <w:color w:val="404040" w:themeColor="text1" w:themeTint="BF"/>
    </w:rPr>
  </w:style>
  <w:style w:type="paragraph" w:styleId="Paragraphedeliste">
    <w:name w:val="List Paragraph"/>
    <w:basedOn w:val="Normal"/>
    <w:uiPriority w:val="34"/>
    <w:qFormat/>
    <w:rsid w:val="00555C14"/>
    <w:pPr>
      <w:ind w:left="720"/>
      <w:contextualSpacing/>
    </w:pPr>
  </w:style>
  <w:style w:type="character" w:styleId="Accentuationintense">
    <w:name w:val="Intense Emphasis"/>
    <w:basedOn w:val="Policepardfaut"/>
    <w:uiPriority w:val="21"/>
    <w:qFormat/>
    <w:rsid w:val="00555C14"/>
    <w:rPr>
      <w:i/>
      <w:iCs/>
      <w:color w:val="2F5496" w:themeColor="accent1" w:themeShade="BF"/>
    </w:rPr>
  </w:style>
  <w:style w:type="paragraph" w:styleId="Citationintense">
    <w:name w:val="Intense Quote"/>
    <w:basedOn w:val="Normal"/>
    <w:next w:val="Normal"/>
    <w:link w:val="CitationintenseCar"/>
    <w:uiPriority w:val="30"/>
    <w:qFormat/>
    <w:rsid w:val="00555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55C14"/>
    <w:rPr>
      <w:i/>
      <w:iCs/>
      <w:color w:val="2F5496" w:themeColor="accent1" w:themeShade="BF"/>
    </w:rPr>
  </w:style>
  <w:style w:type="character" w:styleId="Rfrenceintense">
    <w:name w:val="Intense Reference"/>
    <w:basedOn w:val="Policepardfaut"/>
    <w:uiPriority w:val="32"/>
    <w:qFormat/>
    <w:rsid w:val="00555C14"/>
    <w:rPr>
      <w:b/>
      <w:bCs/>
      <w:smallCaps/>
      <w:color w:val="2F5496" w:themeColor="accent1" w:themeShade="BF"/>
      <w:spacing w:val="5"/>
    </w:rPr>
  </w:style>
  <w:style w:type="paragraph" w:customStyle="1" w:styleId="Tiret">
    <w:name w:val="Tiret"/>
    <w:basedOn w:val="Normal"/>
    <w:pPr>
      <w:spacing w:after="60"/>
      <w:ind w:left="369" w:hanging="255"/>
    </w:pPr>
  </w:style>
  <w:style w:type="paragraph" w:styleId="TM1">
    <w:name w:val="toc 1"/>
    <w:basedOn w:val="Normal"/>
    <w:next w:val="Normal"/>
    <w:autoRedefine/>
    <w:uiPriority w:val="39"/>
    <w:unhideWhenUsed/>
    <w:rsid w:val="006374D7"/>
    <w:pPr>
      <w:spacing w:after="100"/>
    </w:pPr>
  </w:style>
  <w:style w:type="paragraph" w:styleId="TM2">
    <w:name w:val="toc 2"/>
    <w:basedOn w:val="Normal"/>
    <w:next w:val="Normal"/>
    <w:autoRedefine/>
    <w:uiPriority w:val="39"/>
    <w:unhideWhenUsed/>
    <w:rsid w:val="006374D7"/>
    <w:pPr>
      <w:spacing w:after="100"/>
      <w:ind w:left="240"/>
    </w:pPr>
  </w:style>
  <w:style w:type="character" w:styleId="Lienhypertexte">
    <w:name w:val="Hyperlink"/>
    <w:basedOn w:val="Policepardfaut"/>
    <w:uiPriority w:val="99"/>
    <w:unhideWhenUsed/>
    <w:rsid w:val="006374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1413</Words>
  <Characters>7773</Characters>
  <Application>Microsoft Office Word</Application>
  <DocSecurity>0</DocSecurity>
  <Lines>64</Lines>
  <Paragraphs>18</Paragraphs>
  <ScaleCrop>false</ScaleCrop>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de vérification et de validation des données de la BNEC</dc:title>
  <dc:subject>HAUQE Certif - Procédure opérationnelle standard</dc:subject>
  <dc:creator>Nyanutse, Yawo</dc:creator>
  <cp:keywords>HAUQE, BNEC, vérification, validation, FUCCS, contrôle, procédure</cp:keywords>
  <dc:description>Projet de procédure préparé à partir des règles métier RM-01 à RM-51 et du corpus HAUQE Certif.</dc:description>
  <cp:lastModifiedBy>Logan Wolverine</cp:lastModifiedBy>
  <cp:revision>3</cp:revision>
  <dcterms:created xsi:type="dcterms:W3CDTF">2026-07-15T22:03:00Z</dcterms:created>
  <dcterms:modified xsi:type="dcterms:W3CDTF">2026-07-20T02:10:00Z</dcterms:modified>
</cp:coreProperties>
</file>