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17CA"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HAUTE AUTORITÉ DE LA QUALITÉ ET DE L'ENVIRONNEMENT (HAUQE)</w:t>
      </w:r>
    </w:p>
    <w:p w14:paraId="5F8E6F6E"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INDICE NATIONAL DE FIABILITÉ DES CERTIFICATIONS (INFC)</w:t>
      </w:r>
    </w:p>
    <w:p w14:paraId="7655C100" w14:textId="77777777" w:rsidR="00057D57" w:rsidRPr="00057D57" w:rsidRDefault="00057D57" w:rsidP="00057D5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57D57">
        <w:rPr>
          <w:rFonts w:ascii="Times New Roman" w:eastAsia="Times New Roman" w:hAnsi="Times New Roman" w:cs="Times New Roman"/>
          <w:b/>
          <w:bCs/>
          <w:kern w:val="0"/>
          <w:sz w:val="36"/>
          <w:szCs w:val="36"/>
          <w:lang w:eastAsia="fr-FR"/>
          <w14:ligatures w14:val="none"/>
        </w:rPr>
        <w:t>1. Définition</w:t>
      </w:r>
    </w:p>
    <w:p w14:paraId="52DA085F"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w:t>
      </w:r>
      <w:r w:rsidRPr="00057D57">
        <w:rPr>
          <w:rFonts w:ascii="Times New Roman" w:eastAsia="Times New Roman" w:hAnsi="Times New Roman" w:cs="Times New Roman"/>
          <w:b/>
          <w:bCs/>
          <w:kern w:val="0"/>
          <w:sz w:val="24"/>
          <w:szCs w:val="24"/>
          <w:lang w:eastAsia="fr-FR"/>
          <w14:ligatures w14:val="none"/>
        </w:rPr>
        <w:t>Indice National de Fiabilité des Certifications (INFC)</w:t>
      </w:r>
      <w:r w:rsidRPr="00057D57">
        <w:rPr>
          <w:rFonts w:ascii="Times New Roman" w:eastAsia="Times New Roman" w:hAnsi="Times New Roman" w:cs="Times New Roman"/>
          <w:kern w:val="0"/>
          <w:sz w:val="24"/>
          <w:szCs w:val="24"/>
          <w:lang w:eastAsia="fr-FR"/>
          <w14:ligatures w14:val="none"/>
        </w:rPr>
        <w:t xml:space="preserve"> est un indicateur synthétique développé par la HAUQE pour apprécier le niveau de fiabilité, de crédibilité et de maintien des certifications détenues par les entreprises au Togo.</w:t>
      </w:r>
    </w:p>
    <w:p w14:paraId="11800998"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L'INFC est calculé à partir des résultats des contrôles réalisés par la HAUQE et repose sur une grille normalisée de 100 points.</w:t>
      </w:r>
    </w:p>
    <w:p w14:paraId="77FCC0F7"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Cet indice permet de :</w:t>
      </w:r>
    </w:p>
    <w:p w14:paraId="3683BF23" w14:textId="77777777" w:rsidR="00057D57" w:rsidRPr="00057D57" w:rsidRDefault="00057D57" w:rsidP="00057D5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mesurer</w:t>
      </w:r>
      <w:proofErr w:type="gramEnd"/>
      <w:r w:rsidRPr="00057D57">
        <w:rPr>
          <w:rFonts w:ascii="Times New Roman" w:eastAsia="Times New Roman" w:hAnsi="Times New Roman" w:cs="Times New Roman"/>
          <w:kern w:val="0"/>
          <w:sz w:val="24"/>
          <w:szCs w:val="24"/>
          <w:lang w:eastAsia="fr-FR"/>
          <w14:ligatures w14:val="none"/>
        </w:rPr>
        <w:t xml:space="preserve"> la qualité des certifications enregistrées dans la base nationale ;</w:t>
      </w:r>
    </w:p>
    <w:p w14:paraId="774881D8" w14:textId="77777777" w:rsidR="00057D57" w:rsidRPr="00057D57" w:rsidRDefault="00057D57" w:rsidP="00057D5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identifier</w:t>
      </w:r>
      <w:proofErr w:type="gramEnd"/>
      <w:r w:rsidRPr="00057D57">
        <w:rPr>
          <w:rFonts w:ascii="Times New Roman" w:eastAsia="Times New Roman" w:hAnsi="Times New Roman" w:cs="Times New Roman"/>
          <w:kern w:val="0"/>
          <w:sz w:val="24"/>
          <w:szCs w:val="24"/>
          <w:lang w:eastAsia="fr-FR"/>
          <w14:ligatures w14:val="none"/>
        </w:rPr>
        <w:t xml:space="preserve"> les secteurs présentant les meilleurs niveaux de conformité ;</w:t>
      </w:r>
    </w:p>
    <w:p w14:paraId="33AA3D65" w14:textId="77777777" w:rsidR="00057D57" w:rsidRPr="00057D57" w:rsidRDefault="00057D57" w:rsidP="00057D5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orienter</w:t>
      </w:r>
      <w:proofErr w:type="gramEnd"/>
      <w:r w:rsidRPr="00057D57">
        <w:rPr>
          <w:rFonts w:ascii="Times New Roman" w:eastAsia="Times New Roman" w:hAnsi="Times New Roman" w:cs="Times New Roman"/>
          <w:kern w:val="0"/>
          <w:sz w:val="24"/>
          <w:szCs w:val="24"/>
          <w:lang w:eastAsia="fr-FR"/>
          <w14:ligatures w14:val="none"/>
        </w:rPr>
        <w:t xml:space="preserve"> les missions de contrôle de la HAUQE ;</w:t>
      </w:r>
    </w:p>
    <w:p w14:paraId="25022455" w14:textId="77777777" w:rsidR="00057D57" w:rsidRPr="00057D57" w:rsidRDefault="00057D57" w:rsidP="00057D5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détecter</w:t>
      </w:r>
      <w:proofErr w:type="gramEnd"/>
      <w:r w:rsidRPr="00057D57">
        <w:rPr>
          <w:rFonts w:ascii="Times New Roman" w:eastAsia="Times New Roman" w:hAnsi="Times New Roman" w:cs="Times New Roman"/>
          <w:kern w:val="0"/>
          <w:sz w:val="24"/>
          <w:szCs w:val="24"/>
          <w:lang w:eastAsia="fr-FR"/>
          <w14:ligatures w14:val="none"/>
        </w:rPr>
        <w:t xml:space="preserve"> les entreprises nécessitant un accompagnement ou une surveillance renforcée ;</w:t>
      </w:r>
    </w:p>
    <w:p w14:paraId="5E38A625" w14:textId="77777777" w:rsidR="00057D57" w:rsidRPr="00057D57" w:rsidRDefault="00057D57" w:rsidP="00057D5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produire</w:t>
      </w:r>
      <w:proofErr w:type="gramEnd"/>
      <w:r w:rsidRPr="00057D57">
        <w:rPr>
          <w:rFonts w:ascii="Times New Roman" w:eastAsia="Times New Roman" w:hAnsi="Times New Roman" w:cs="Times New Roman"/>
          <w:kern w:val="0"/>
          <w:sz w:val="24"/>
          <w:szCs w:val="24"/>
          <w:lang w:eastAsia="fr-FR"/>
          <w14:ligatures w14:val="none"/>
        </w:rPr>
        <w:t xml:space="preserve"> des statistiques nationales sur les certifications.</w:t>
      </w:r>
    </w:p>
    <w:p w14:paraId="3E4ACE6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1C12CB8E">
          <v:rect id="_x0000_i1025" style="width:0;height:1.5pt" o:hralign="center" o:hrstd="t" o:hr="t" fillcolor="#a0a0a0" stroked="f"/>
        </w:pict>
      </w:r>
    </w:p>
    <w:p w14:paraId="56DD3403"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2. Calcul de l'INFC</w:t>
      </w:r>
    </w:p>
    <w:p w14:paraId="7F2134D2"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L'INFC correspond au score obtenu lors du contrôle de la certification.</w:t>
      </w:r>
    </w:p>
    <w:p w14:paraId="37F46569"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INFC = Somme des points obtenus dans les six domaines d'évaluation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1342"/>
      </w:tblGrid>
      <w:tr w:rsidR="00057D57" w:rsidRPr="00057D57" w14:paraId="5F1595F8" w14:textId="77777777">
        <w:trPr>
          <w:tblCellSpacing w:w="15" w:type="dxa"/>
        </w:trPr>
        <w:tc>
          <w:tcPr>
            <w:tcW w:w="0" w:type="auto"/>
            <w:vAlign w:val="center"/>
            <w:hideMark/>
          </w:tcPr>
          <w:p w14:paraId="35E33035" w14:textId="77777777" w:rsidR="00057D57" w:rsidRPr="00057D57" w:rsidRDefault="00057D57" w:rsidP="00057D57">
            <w:pPr>
              <w:spacing w:after="0" w:line="240" w:lineRule="auto"/>
              <w:jc w:val="center"/>
              <w:rPr>
                <w:rFonts w:ascii="Times New Roman" w:eastAsia="Times New Roman" w:hAnsi="Times New Roman" w:cs="Times New Roman"/>
                <w:b/>
                <w:bCs/>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Domaine</w:t>
            </w:r>
          </w:p>
        </w:tc>
        <w:tc>
          <w:tcPr>
            <w:tcW w:w="0" w:type="auto"/>
            <w:vAlign w:val="center"/>
            <w:hideMark/>
          </w:tcPr>
          <w:p w14:paraId="67BD2A88" w14:textId="77777777" w:rsidR="00057D57" w:rsidRPr="00057D57" w:rsidRDefault="00057D57" w:rsidP="00057D57">
            <w:pPr>
              <w:spacing w:after="0" w:line="240" w:lineRule="auto"/>
              <w:jc w:val="center"/>
              <w:rPr>
                <w:rFonts w:ascii="Times New Roman" w:eastAsia="Times New Roman" w:hAnsi="Times New Roman" w:cs="Times New Roman"/>
                <w:b/>
                <w:bCs/>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Pondération</w:t>
            </w:r>
          </w:p>
        </w:tc>
      </w:tr>
      <w:tr w:rsidR="00057D57" w:rsidRPr="00057D57" w14:paraId="6ABE48BE" w14:textId="77777777">
        <w:trPr>
          <w:tblCellSpacing w:w="15" w:type="dxa"/>
        </w:trPr>
        <w:tc>
          <w:tcPr>
            <w:tcW w:w="0" w:type="auto"/>
            <w:vAlign w:val="center"/>
            <w:hideMark/>
          </w:tcPr>
          <w:p w14:paraId="5A2740E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Authenticité du certificat</w:t>
            </w:r>
          </w:p>
        </w:tc>
        <w:tc>
          <w:tcPr>
            <w:tcW w:w="0" w:type="auto"/>
            <w:vAlign w:val="center"/>
            <w:hideMark/>
          </w:tcPr>
          <w:p w14:paraId="2EF0E64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20 points</w:t>
            </w:r>
          </w:p>
        </w:tc>
      </w:tr>
      <w:tr w:rsidR="00057D57" w:rsidRPr="00057D57" w14:paraId="592A265E" w14:textId="77777777">
        <w:trPr>
          <w:tblCellSpacing w:w="15" w:type="dxa"/>
        </w:trPr>
        <w:tc>
          <w:tcPr>
            <w:tcW w:w="0" w:type="auto"/>
            <w:vAlign w:val="center"/>
            <w:hideMark/>
          </w:tcPr>
          <w:p w14:paraId="20F987E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Validité du certificat</w:t>
            </w:r>
          </w:p>
        </w:tc>
        <w:tc>
          <w:tcPr>
            <w:tcW w:w="0" w:type="auto"/>
            <w:vAlign w:val="center"/>
            <w:hideMark/>
          </w:tcPr>
          <w:p w14:paraId="1FDF6B7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20 points</w:t>
            </w:r>
          </w:p>
        </w:tc>
      </w:tr>
      <w:tr w:rsidR="00057D57" w:rsidRPr="00057D57" w14:paraId="6F447952" w14:textId="77777777">
        <w:trPr>
          <w:tblCellSpacing w:w="15" w:type="dxa"/>
        </w:trPr>
        <w:tc>
          <w:tcPr>
            <w:tcW w:w="0" w:type="auto"/>
            <w:vAlign w:val="center"/>
            <w:hideMark/>
          </w:tcPr>
          <w:p w14:paraId="410ECD33"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Maintien de la certification</w:t>
            </w:r>
          </w:p>
        </w:tc>
        <w:tc>
          <w:tcPr>
            <w:tcW w:w="0" w:type="auto"/>
            <w:vAlign w:val="center"/>
            <w:hideMark/>
          </w:tcPr>
          <w:p w14:paraId="6FE2EA5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20 points</w:t>
            </w:r>
          </w:p>
        </w:tc>
      </w:tr>
      <w:tr w:rsidR="00057D57" w:rsidRPr="00057D57" w14:paraId="3397921B" w14:textId="77777777">
        <w:trPr>
          <w:tblCellSpacing w:w="15" w:type="dxa"/>
        </w:trPr>
        <w:tc>
          <w:tcPr>
            <w:tcW w:w="0" w:type="auto"/>
            <w:vAlign w:val="center"/>
            <w:hideMark/>
          </w:tcPr>
          <w:p w14:paraId="30EF32B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Maîtrise documentaire</w:t>
            </w:r>
          </w:p>
        </w:tc>
        <w:tc>
          <w:tcPr>
            <w:tcW w:w="0" w:type="auto"/>
            <w:vAlign w:val="center"/>
            <w:hideMark/>
          </w:tcPr>
          <w:p w14:paraId="6378FD3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15 points</w:t>
            </w:r>
          </w:p>
        </w:tc>
      </w:tr>
      <w:tr w:rsidR="00057D57" w:rsidRPr="00057D57" w14:paraId="50DDC8DD" w14:textId="77777777">
        <w:trPr>
          <w:tblCellSpacing w:w="15" w:type="dxa"/>
        </w:trPr>
        <w:tc>
          <w:tcPr>
            <w:tcW w:w="0" w:type="auto"/>
            <w:vAlign w:val="center"/>
            <w:hideMark/>
          </w:tcPr>
          <w:p w14:paraId="58CCEF3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Traçabilité et maîtrise opérationnelle</w:t>
            </w:r>
          </w:p>
        </w:tc>
        <w:tc>
          <w:tcPr>
            <w:tcW w:w="0" w:type="auto"/>
            <w:vAlign w:val="center"/>
            <w:hideMark/>
          </w:tcPr>
          <w:p w14:paraId="490145C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15 points</w:t>
            </w:r>
          </w:p>
        </w:tc>
      </w:tr>
      <w:tr w:rsidR="00057D57" w:rsidRPr="00057D57" w14:paraId="6982283E" w14:textId="77777777">
        <w:trPr>
          <w:tblCellSpacing w:w="15" w:type="dxa"/>
        </w:trPr>
        <w:tc>
          <w:tcPr>
            <w:tcW w:w="0" w:type="auto"/>
            <w:vAlign w:val="center"/>
            <w:hideMark/>
          </w:tcPr>
          <w:p w14:paraId="676FB8A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Suivi et renouvellement</w:t>
            </w:r>
          </w:p>
        </w:tc>
        <w:tc>
          <w:tcPr>
            <w:tcW w:w="0" w:type="auto"/>
            <w:vAlign w:val="center"/>
            <w:hideMark/>
          </w:tcPr>
          <w:p w14:paraId="440AB30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10 points</w:t>
            </w:r>
          </w:p>
        </w:tc>
      </w:tr>
      <w:tr w:rsidR="00057D57" w:rsidRPr="00057D57" w14:paraId="09AA290A" w14:textId="77777777">
        <w:trPr>
          <w:tblCellSpacing w:w="15" w:type="dxa"/>
        </w:trPr>
        <w:tc>
          <w:tcPr>
            <w:tcW w:w="0" w:type="auto"/>
            <w:vAlign w:val="center"/>
            <w:hideMark/>
          </w:tcPr>
          <w:p w14:paraId="414ECE8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TOTAL</w:t>
            </w:r>
          </w:p>
        </w:tc>
        <w:tc>
          <w:tcPr>
            <w:tcW w:w="0" w:type="auto"/>
            <w:vAlign w:val="center"/>
            <w:hideMark/>
          </w:tcPr>
          <w:p w14:paraId="0756027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100 points</w:t>
            </w:r>
          </w:p>
        </w:tc>
      </w:tr>
    </w:tbl>
    <w:p w14:paraId="5FF51DE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1817D989">
          <v:rect id="_x0000_i1026" style="width:0;height:1.5pt" o:hralign="center" o:hrstd="t" o:hr="t" fillcolor="#a0a0a0" stroked="f"/>
        </w:pict>
      </w:r>
    </w:p>
    <w:p w14:paraId="598811E2"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lastRenderedPageBreak/>
        <w:t>3. Niveaux de performance de l'INFC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295"/>
        <w:gridCol w:w="2686"/>
        <w:gridCol w:w="4203"/>
      </w:tblGrid>
      <w:tr w:rsidR="00057D57" w:rsidRPr="00057D57" w14:paraId="0A22EEE0" w14:textId="77777777">
        <w:trPr>
          <w:tblCellSpacing w:w="15" w:type="dxa"/>
        </w:trPr>
        <w:tc>
          <w:tcPr>
            <w:tcW w:w="0" w:type="auto"/>
            <w:vAlign w:val="center"/>
            <w:hideMark/>
          </w:tcPr>
          <w:p w14:paraId="5423007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w:t>
            </w:r>
          </w:p>
        </w:tc>
        <w:tc>
          <w:tcPr>
            <w:tcW w:w="0" w:type="auto"/>
            <w:vAlign w:val="center"/>
            <w:hideMark/>
          </w:tcPr>
          <w:p w14:paraId="5DD4B3C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Niveau</w:t>
            </w:r>
          </w:p>
        </w:tc>
        <w:tc>
          <w:tcPr>
            <w:tcW w:w="0" w:type="auto"/>
            <w:vAlign w:val="center"/>
            <w:hideMark/>
          </w:tcPr>
          <w:p w14:paraId="440108F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Appréciation</w:t>
            </w:r>
          </w:p>
        </w:tc>
        <w:tc>
          <w:tcPr>
            <w:tcW w:w="0" w:type="auto"/>
            <w:vAlign w:val="center"/>
            <w:hideMark/>
          </w:tcPr>
          <w:p w14:paraId="76C1F6B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Décision HAUQE</w:t>
            </w:r>
          </w:p>
        </w:tc>
      </w:tr>
      <w:tr w:rsidR="00057D57" w:rsidRPr="00057D57" w14:paraId="011ADB5A" w14:textId="77777777">
        <w:trPr>
          <w:tblCellSpacing w:w="15" w:type="dxa"/>
        </w:trPr>
        <w:tc>
          <w:tcPr>
            <w:tcW w:w="0" w:type="auto"/>
            <w:vAlign w:val="center"/>
            <w:hideMark/>
          </w:tcPr>
          <w:p w14:paraId="7932CEEE"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95 – 100</w:t>
            </w:r>
          </w:p>
        </w:tc>
        <w:tc>
          <w:tcPr>
            <w:tcW w:w="0" w:type="auto"/>
            <w:vAlign w:val="center"/>
            <w:hideMark/>
          </w:tcPr>
          <w:p w14:paraId="2D396C36"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Excellence</w:t>
            </w:r>
          </w:p>
        </w:tc>
        <w:tc>
          <w:tcPr>
            <w:tcW w:w="0" w:type="auto"/>
            <w:vAlign w:val="center"/>
            <w:hideMark/>
          </w:tcPr>
          <w:p w14:paraId="0EF90EE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Certification exemplaire</w:t>
            </w:r>
          </w:p>
        </w:tc>
        <w:tc>
          <w:tcPr>
            <w:tcW w:w="0" w:type="auto"/>
            <w:vAlign w:val="center"/>
            <w:hideMark/>
          </w:tcPr>
          <w:p w14:paraId="03BCE7F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Suivi annuel et valorisation comme bonne pratique</w:t>
            </w:r>
          </w:p>
        </w:tc>
      </w:tr>
      <w:tr w:rsidR="00057D57" w:rsidRPr="00057D57" w14:paraId="14916761" w14:textId="77777777">
        <w:trPr>
          <w:tblCellSpacing w:w="15" w:type="dxa"/>
        </w:trPr>
        <w:tc>
          <w:tcPr>
            <w:tcW w:w="0" w:type="auto"/>
            <w:vAlign w:val="center"/>
            <w:hideMark/>
          </w:tcPr>
          <w:p w14:paraId="7E5DB42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90 – 94</w:t>
            </w:r>
          </w:p>
        </w:tc>
        <w:tc>
          <w:tcPr>
            <w:tcW w:w="0" w:type="auto"/>
            <w:vAlign w:val="center"/>
            <w:hideMark/>
          </w:tcPr>
          <w:p w14:paraId="6BD53FA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Très satisfaisant</w:t>
            </w:r>
          </w:p>
        </w:tc>
        <w:tc>
          <w:tcPr>
            <w:tcW w:w="0" w:type="auto"/>
            <w:vAlign w:val="center"/>
            <w:hideMark/>
          </w:tcPr>
          <w:p w14:paraId="6EF8601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Certification pleinement conforme et fiable</w:t>
            </w:r>
          </w:p>
        </w:tc>
        <w:tc>
          <w:tcPr>
            <w:tcW w:w="0" w:type="auto"/>
            <w:vAlign w:val="center"/>
            <w:hideMark/>
          </w:tcPr>
          <w:p w14:paraId="498BD5AF"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Maintien dans la base nationale</w:t>
            </w:r>
          </w:p>
        </w:tc>
      </w:tr>
      <w:tr w:rsidR="00057D57" w:rsidRPr="00057D57" w14:paraId="0E0D196C" w14:textId="77777777">
        <w:trPr>
          <w:tblCellSpacing w:w="15" w:type="dxa"/>
        </w:trPr>
        <w:tc>
          <w:tcPr>
            <w:tcW w:w="0" w:type="auto"/>
            <w:vAlign w:val="center"/>
            <w:hideMark/>
          </w:tcPr>
          <w:p w14:paraId="2937AEAF"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75 – 89</w:t>
            </w:r>
          </w:p>
        </w:tc>
        <w:tc>
          <w:tcPr>
            <w:tcW w:w="0" w:type="auto"/>
            <w:vAlign w:val="center"/>
            <w:hideMark/>
          </w:tcPr>
          <w:p w14:paraId="58353D2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Satisfaisant</w:t>
            </w:r>
          </w:p>
        </w:tc>
        <w:tc>
          <w:tcPr>
            <w:tcW w:w="0" w:type="auto"/>
            <w:vAlign w:val="center"/>
            <w:hideMark/>
          </w:tcPr>
          <w:p w14:paraId="0D76CE6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Certification conforme avec quelques améliorations mineures</w:t>
            </w:r>
          </w:p>
        </w:tc>
        <w:tc>
          <w:tcPr>
            <w:tcW w:w="0" w:type="auto"/>
            <w:vAlign w:val="center"/>
            <w:hideMark/>
          </w:tcPr>
          <w:p w14:paraId="21D89D0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Plan d'amélioration et suivi annuel</w:t>
            </w:r>
          </w:p>
        </w:tc>
      </w:tr>
      <w:tr w:rsidR="00057D57" w:rsidRPr="00057D57" w14:paraId="1DD6293F" w14:textId="77777777">
        <w:trPr>
          <w:tblCellSpacing w:w="15" w:type="dxa"/>
        </w:trPr>
        <w:tc>
          <w:tcPr>
            <w:tcW w:w="0" w:type="auto"/>
            <w:vAlign w:val="center"/>
            <w:hideMark/>
          </w:tcPr>
          <w:p w14:paraId="2794EBB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60 – 74</w:t>
            </w:r>
          </w:p>
        </w:tc>
        <w:tc>
          <w:tcPr>
            <w:tcW w:w="0" w:type="auto"/>
            <w:vAlign w:val="center"/>
            <w:hideMark/>
          </w:tcPr>
          <w:p w14:paraId="1723E77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Acceptable</w:t>
            </w:r>
          </w:p>
        </w:tc>
        <w:tc>
          <w:tcPr>
            <w:tcW w:w="0" w:type="auto"/>
            <w:vAlign w:val="center"/>
            <w:hideMark/>
          </w:tcPr>
          <w:p w14:paraId="57743A4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Certification nécessitant un suivi renforcé</w:t>
            </w:r>
          </w:p>
        </w:tc>
        <w:tc>
          <w:tcPr>
            <w:tcW w:w="0" w:type="auto"/>
            <w:vAlign w:val="center"/>
            <w:hideMark/>
          </w:tcPr>
          <w:p w14:paraId="20EC21B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Contrôle semestriel et accompagnement technique</w:t>
            </w:r>
          </w:p>
        </w:tc>
      </w:tr>
      <w:tr w:rsidR="00057D57" w:rsidRPr="00057D57" w14:paraId="7EE18C79" w14:textId="77777777">
        <w:trPr>
          <w:tblCellSpacing w:w="15" w:type="dxa"/>
        </w:trPr>
        <w:tc>
          <w:tcPr>
            <w:tcW w:w="0" w:type="auto"/>
            <w:vAlign w:val="center"/>
            <w:hideMark/>
          </w:tcPr>
          <w:p w14:paraId="3BF91F7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40 – 59</w:t>
            </w:r>
          </w:p>
        </w:tc>
        <w:tc>
          <w:tcPr>
            <w:tcW w:w="0" w:type="auto"/>
            <w:vAlign w:val="center"/>
            <w:hideMark/>
          </w:tcPr>
          <w:p w14:paraId="5F39004E"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Faible</w:t>
            </w:r>
          </w:p>
        </w:tc>
        <w:tc>
          <w:tcPr>
            <w:tcW w:w="0" w:type="auto"/>
            <w:vAlign w:val="center"/>
            <w:hideMark/>
          </w:tcPr>
          <w:p w14:paraId="28CD95A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Certification présentant plusieurs insuffisances</w:t>
            </w:r>
          </w:p>
        </w:tc>
        <w:tc>
          <w:tcPr>
            <w:tcW w:w="0" w:type="auto"/>
            <w:vAlign w:val="center"/>
            <w:hideMark/>
          </w:tcPr>
          <w:p w14:paraId="71F27E3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Contrôle rapproché, plan d'actions obligatoire</w:t>
            </w:r>
          </w:p>
        </w:tc>
      </w:tr>
      <w:tr w:rsidR="00057D57" w:rsidRPr="00057D57" w14:paraId="58DCBE46" w14:textId="77777777">
        <w:trPr>
          <w:tblCellSpacing w:w="15" w:type="dxa"/>
        </w:trPr>
        <w:tc>
          <w:tcPr>
            <w:tcW w:w="0" w:type="auto"/>
            <w:vAlign w:val="center"/>
            <w:hideMark/>
          </w:tcPr>
          <w:p w14:paraId="2DD705A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Moins de 40</w:t>
            </w:r>
          </w:p>
        </w:tc>
        <w:tc>
          <w:tcPr>
            <w:tcW w:w="0" w:type="auto"/>
            <w:vAlign w:val="center"/>
            <w:hideMark/>
          </w:tcPr>
          <w:p w14:paraId="2D00AFB6"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Critique</w:t>
            </w:r>
          </w:p>
        </w:tc>
        <w:tc>
          <w:tcPr>
            <w:tcW w:w="0" w:type="auto"/>
            <w:vAlign w:val="center"/>
            <w:hideMark/>
          </w:tcPr>
          <w:p w14:paraId="0E619D0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Certification fortement compromise ou douteuse</w:t>
            </w:r>
          </w:p>
        </w:tc>
        <w:tc>
          <w:tcPr>
            <w:tcW w:w="0" w:type="auto"/>
            <w:vAlign w:val="center"/>
            <w:hideMark/>
          </w:tcPr>
          <w:p w14:paraId="51D0F89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Vérification approfondie, saisine de l'organisme certificateur et examen du maintien dans la base nationale</w:t>
            </w:r>
          </w:p>
        </w:tc>
      </w:tr>
    </w:tbl>
    <w:p w14:paraId="277C56F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6601132A">
          <v:rect id="_x0000_i1027" style="width:0;height:1.5pt" o:hralign="center" o:hrstd="t" o:hr="t" fillcolor="#a0a0a0" stroked="f"/>
        </w:pict>
      </w:r>
    </w:p>
    <w:p w14:paraId="68217C99"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4. Code couleur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670"/>
        <w:gridCol w:w="2914"/>
      </w:tblGrid>
      <w:tr w:rsidR="00057D57" w:rsidRPr="00057D57" w14:paraId="685505BE" w14:textId="77777777">
        <w:trPr>
          <w:tblCellSpacing w:w="15" w:type="dxa"/>
        </w:trPr>
        <w:tc>
          <w:tcPr>
            <w:tcW w:w="0" w:type="auto"/>
            <w:vAlign w:val="center"/>
            <w:hideMark/>
          </w:tcPr>
          <w:p w14:paraId="67B5FA3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Niveau</w:t>
            </w:r>
          </w:p>
        </w:tc>
        <w:tc>
          <w:tcPr>
            <w:tcW w:w="0" w:type="auto"/>
            <w:vAlign w:val="center"/>
            <w:hideMark/>
          </w:tcPr>
          <w:p w14:paraId="4B4DA4E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Couleur</w:t>
            </w:r>
          </w:p>
        </w:tc>
        <w:tc>
          <w:tcPr>
            <w:tcW w:w="0" w:type="auto"/>
            <w:vAlign w:val="center"/>
            <w:hideMark/>
          </w:tcPr>
          <w:p w14:paraId="7CBC8C0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Signification</w:t>
            </w:r>
          </w:p>
        </w:tc>
      </w:tr>
      <w:tr w:rsidR="00057D57" w:rsidRPr="00057D57" w14:paraId="62695FD6" w14:textId="77777777">
        <w:trPr>
          <w:tblCellSpacing w:w="15" w:type="dxa"/>
        </w:trPr>
        <w:tc>
          <w:tcPr>
            <w:tcW w:w="0" w:type="auto"/>
            <w:vAlign w:val="center"/>
            <w:hideMark/>
          </w:tcPr>
          <w:p w14:paraId="20CA272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Excellence</w:t>
            </w:r>
          </w:p>
        </w:tc>
        <w:tc>
          <w:tcPr>
            <w:tcW w:w="0" w:type="auto"/>
            <w:vAlign w:val="center"/>
            <w:hideMark/>
          </w:tcPr>
          <w:p w14:paraId="064D214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Segoe UI Emoji" w:eastAsia="Times New Roman" w:hAnsi="Segoe UI Emoji" w:cs="Segoe UI Emoji"/>
                <w:kern w:val="0"/>
                <w:sz w:val="24"/>
                <w:szCs w:val="24"/>
                <w:lang w:eastAsia="fr-FR"/>
                <w14:ligatures w14:val="none"/>
              </w:rPr>
              <w:t>🟢</w:t>
            </w:r>
            <w:r w:rsidRPr="00057D57">
              <w:rPr>
                <w:rFonts w:ascii="Times New Roman" w:eastAsia="Times New Roman" w:hAnsi="Times New Roman" w:cs="Times New Roman"/>
                <w:kern w:val="0"/>
                <w:sz w:val="24"/>
                <w:szCs w:val="24"/>
                <w:lang w:eastAsia="fr-FR"/>
                <w14:ligatures w14:val="none"/>
              </w:rPr>
              <w:t xml:space="preserve"> Vert foncé</w:t>
            </w:r>
          </w:p>
        </w:tc>
        <w:tc>
          <w:tcPr>
            <w:tcW w:w="0" w:type="auto"/>
            <w:vAlign w:val="center"/>
            <w:hideMark/>
          </w:tcPr>
          <w:p w14:paraId="5802119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Très haut niveau de fiabilité</w:t>
            </w:r>
          </w:p>
        </w:tc>
      </w:tr>
      <w:tr w:rsidR="00057D57" w:rsidRPr="00057D57" w14:paraId="25CDC9E5" w14:textId="77777777">
        <w:trPr>
          <w:tblCellSpacing w:w="15" w:type="dxa"/>
        </w:trPr>
        <w:tc>
          <w:tcPr>
            <w:tcW w:w="0" w:type="auto"/>
            <w:vAlign w:val="center"/>
            <w:hideMark/>
          </w:tcPr>
          <w:p w14:paraId="7F8E855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Très satisfaisant</w:t>
            </w:r>
          </w:p>
        </w:tc>
        <w:tc>
          <w:tcPr>
            <w:tcW w:w="0" w:type="auto"/>
            <w:vAlign w:val="center"/>
            <w:hideMark/>
          </w:tcPr>
          <w:p w14:paraId="199EF47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Segoe UI Emoji" w:eastAsia="Times New Roman" w:hAnsi="Segoe UI Emoji" w:cs="Segoe UI Emoji"/>
                <w:kern w:val="0"/>
                <w:sz w:val="24"/>
                <w:szCs w:val="24"/>
                <w:lang w:eastAsia="fr-FR"/>
                <w14:ligatures w14:val="none"/>
              </w:rPr>
              <w:t>🟢</w:t>
            </w:r>
            <w:r w:rsidRPr="00057D57">
              <w:rPr>
                <w:rFonts w:ascii="Times New Roman" w:eastAsia="Times New Roman" w:hAnsi="Times New Roman" w:cs="Times New Roman"/>
                <w:kern w:val="0"/>
                <w:sz w:val="24"/>
                <w:szCs w:val="24"/>
                <w:lang w:eastAsia="fr-FR"/>
                <w14:ligatures w14:val="none"/>
              </w:rPr>
              <w:t xml:space="preserve"> Vert</w:t>
            </w:r>
          </w:p>
        </w:tc>
        <w:tc>
          <w:tcPr>
            <w:tcW w:w="0" w:type="auto"/>
            <w:vAlign w:val="center"/>
            <w:hideMark/>
          </w:tcPr>
          <w:p w14:paraId="02161FC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Conforme</w:t>
            </w:r>
          </w:p>
        </w:tc>
      </w:tr>
      <w:tr w:rsidR="00057D57" w:rsidRPr="00057D57" w14:paraId="5E1A157F" w14:textId="77777777">
        <w:trPr>
          <w:tblCellSpacing w:w="15" w:type="dxa"/>
        </w:trPr>
        <w:tc>
          <w:tcPr>
            <w:tcW w:w="0" w:type="auto"/>
            <w:vAlign w:val="center"/>
            <w:hideMark/>
          </w:tcPr>
          <w:p w14:paraId="62C71D4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Satisfaisant</w:t>
            </w:r>
          </w:p>
        </w:tc>
        <w:tc>
          <w:tcPr>
            <w:tcW w:w="0" w:type="auto"/>
            <w:vAlign w:val="center"/>
            <w:hideMark/>
          </w:tcPr>
          <w:p w14:paraId="0BBBEBE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Segoe UI Emoji" w:eastAsia="Times New Roman" w:hAnsi="Segoe UI Emoji" w:cs="Segoe UI Emoji"/>
                <w:kern w:val="0"/>
                <w:sz w:val="24"/>
                <w:szCs w:val="24"/>
                <w:lang w:eastAsia="fr-FR"/>
                <w14:ligatures w14:val="none"/>
              </w:rPr>
              <w:t>🟡</w:t>
            </w:r>
            <w:r w:rsidRPr="00057D57">
              <w:rPr>
                <w:rFonts w:ascii="Times New Roman" w:eastAsia="Times New Roman" w:hAnsi="Times New Roman" w:cs="Times New Roman"/>
                <w:kern w:val="0"/>
                <w:sz w:val="24"/>
                <w:szCs w:val="24"/>
                <w:lang w:eastAsia="fr-FR"/>
                <w14:ligatures w14:val="none"/>
              </w:rPr>
              <w:t xml:space="preserve"> Jaune</w:t>
            </w:r>
          </w:p>
        </w:tc>
        <w:tc>
          <w:tcPr>
            <w:tcW w:w="0" w:type="auto"/>
            <w:vAlign w:val="center"/>
            <w:hideMark/>
          </w:tcPr>
          <w:p w14:paraId="43563AC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Conforme avec améliorations</w:t>
            </w:r>
          </w:p>
        </w:tc>
      </w:tr>
      <w:tr w:rsidR="00057D57" w:rsidRPr="00057D57" w14:paraId="04AD26B5" w14:textId="77777777">
        <w:trPr>
          <w:tblCellSpacing w:w="15" w:type="dxa"/>
        </w:trPr>
        <w:tc>
          <w:tcPr>
            <w:tcW w:w="0" w:type="auto"/>
            <w:vAlign w:val="center"/>
            <w:hideMark/>
          </w:tcPr>
          <w:p w14:paraId="29B7993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Acceptable</w:t>
            </w:r>
          </w:p>
        </w:tc>
        <w:tc>
          <w:tcPr>
            <w:tcW w:w="0" w:type="auto"/>
            <w:vAlign w:val="center"/>
            <w:hideMark/>
          </w:tcPr>
          <w:p w14:paraId="037E3C16"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Segoe UI Emoji" w:eastAsia="Times New Roman" w:hAnsi="Segoe UI Emoji" w:cs="Segoe UI Emoji"/>
                <w:kern w:val="0"/>
                <w:sz w:val="24"/>
                <w:szCs w:val="24"/>
                <w:lang w:eastAsia="fr-FR"/>
                <w14:ligatures w14:val="none"/>
              </w:rPr>
              <w:t>🟠</w:t>
            </w:r>
            <w:r w:rsidRPr="00057D57">
              <w:rPr>
                <w:rFonts w:ascii="Times New Roman" w:eastAsia="Times New Roman" w:hAnsi="Times New Roman" w:cs="Times New Roman"/>
                <w:kern w:val="0"/>
                <w:sz w:val="24"/>
                <w:szCs w:val="24"/>
                <w:lang w:eastAsia="fr-FR"/>
                <w14:ligatures w14:val="none"/>
              </w:rPr>
              <w:t xml:space="preserve"> Orange</w:t>
            </w:r>
          </w:p>
        </w:tc>
        <w:tc>
          <w:tcPr>
            <w:tcW w:w="0" w:type="auto"/>
            <w:vAlign w:val="center"/>
            <w:hideMark/>
          </w:tcPr>
          <w:p w14:paraId="1CD3CEB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Surveillance renforcée</w:t>
            </w:r>
          </w:p>
        </w:tc>
      </w:tr>
      <w:tr w:rsidR="00057D57" w:rsidRPr="00057D57" w14:paraId="0398C715" w14:textId="77777777">
        <w:trPr>
          <w:tblCellSpacing w:w="15" w:type="dxa"/>
        </w:trPr>
        <w:tc>
          <w:tcPr>
            <w:tcW w:w="0" w:type="auto"/>
            <w:vAlign w:val="center"/>
            <w:hideMark/>
          </w:tcPr>
          <w:p w14:paraId="01B2AF6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Faible</w:t>
            </w:r>
          </w:p>
        </w:tc>
        <w:tc>
          <w:tcPr>
            <w:tcW w:w="0" w:type="auto"/>
            <w:vAlign w:val="center"/>
            <w:hideMark/>
          </w:tcPr>
          <w:p w14:paraId="3EFF6DA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Segoe UI Emoji" w:eastAsia="Times New Roman" w:hAnsi="Segoe UI Emoji" w:cs="Segoe UI Emoji"/>
                <w:kern w:val="0"/>
                <w:sz w:val="24"/>
                <w:szCs w:val="24"/>
                <w:lang w:eastAsia="fr-FR"/>
                <w14:ligatures w14:val="none"/>
              </w:rPr>
              <w:t>🔴</w:t>
            </w:r>
            <w:r w:rsidRPr="00057D57">
              <w:rPr>
                <w:rFonts w:ascii="Times New Roman" w:eastAsia="Times New Roman" w:hAnsi="Times New Roman" w:cs="Times New Roman"/>
                <w:kern w:val="0"/>
                <w:sz w:val="24"/>
                <w:szCs w:val="24"/>
                <w:lang w:eastAsia="fr-FR"/>
                <w14:ligatures w14:val="none"/>
              </w:rPr>
              <w:t xml:space="preserve"> Rouge</w:t>
            </w:r>
          </w:p>
        </w:tc>
        <w:tc>
          <w:tcPr>
            <w:tcW w:w="0" w:type="auto"/>
            <w:vAlign w:val="center"/>
            <w:hideMark/>
          </w:tcPr>
          <w:p w14:paraId="681EE08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Risque élevé</w:t>
            </w:r>
          </w:p>
        </w:tc>
      </w:tr>
      <w:tr w:rsidR="00057D57" w:rsidRPr="00057D57" w14:paraId="0B4D8CFF" w14:textId="77777777">
        <w:trPr>
          <w:tblCellSpacing w:w="15" w:type="dxa"/>
        </w:trPr>
        <w:tc>
          <w:tcPr>
            <w:tcW w:w="0" w:type="auto"/>
            <w:vAlign w:val="center"/>
            <w:hideMark/>
          </w:tcPr>
          <w:p w14:paraId="171A25E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Critique</w:t>
            </w:r>
          </w:p>
        </w:tc>
        <w:tc>
          <w:tcPr>
            <w:tcW w:w="0" w:type="auto"/>
            <w:vAlign w:val="center"/>
            <w:hideMark/>
          </w:tcPr>
          <w:p w14:paraId="612CEE6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Segoe UI Emoji" w:eastAsia="Times New Roman" w:hAnsi="Segoe UI Emoji" w:cs="Segoe UI Emoji"/>
                <w:kern w:val="0"/>
                <w:sz w:val="24"/>
                <w:szCs w:val="24"/>
                <w:lang w:eastAsia="fr-FR"/>
                <w14:ligatures w14:val="none"/>
              </w:rPr>
              <w:t>⚫</w:t>
            </w:r>
            <w:r w:rsidRPr="00057D57">
              <w:rPr>
                <w:rFonts w:ascii="Times New Roman" w:eastAsia="Times New Roman" w:hAnsi="Times New Roman" w:cs="Times New Roman"/>
                <w:kern w:val="0"/>
                <w:sz w:val="24"/>
                <w:szCs w:val="24"/>
                <w:lang w:eastAsia="fr-FR"/>
                <w14:ligatures w14:val="none"/>
              </w:rPr>
              <w:t xml:space="preserve"> Rouge foncé</w:t>
            </w:r>
          </w:p>
        </w:tc>
        <w:tc>
          <w:tcPr>
            <w:tcW w:w="0" w:type="auto"/>
            <w:vAlign w:val="center"/>
            <w:hideMark/>
          </w:tcPr>
          <w:p w14:paraId="13C1C27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Investigation prioritaire</w:t>
            </w:r>
          </w:p>
        </w:tc>
      </w:tr>
    </w:tbl>
    <w:p w14:paraId="3926D69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52492D84">
          <v:rect id="_x0000_i1028" style="width:0;height:1.5pt" o:hralign="center" o:hrstd="t" o:hr="t" fillcolor="#a0a0a0" stroked="f"/>
        </w:pict>
      </w:r>
    </w:p>
    <w:p w14:paraId="22037BC2"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5. Utilisation de l'INFC</w:t>
      </w:r>
    </w:p>
    <w:p w14:paraId="7AAF8296"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L'INFC est utilisé pour :</w:t>
      </w:r>
    </w:p>
    <w:p w14:paraId="3A31AEC7" w14:textId="77777777" w:rsidR="00057D57" w:rsidRPr="00057D57" w:rsidRDefault="00057D57" w:rsidP="00057D5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classer</w:t>
      </w:r>
      <w:proofErr w:type="gramEnd"/>
      <w:r w:rsidRPr="00057D57">
        <w:rPr>
          <w:rFonts w:ascii="Times New Roman" w:eastAsia="Times New Roman" w:hAnsi="Times New Roman" w:cs="Times New Roman"/>
          <w:kern w:val="0"/>
          <w:sz w:val="24"/>
          <w:szCs w:val="24"/>
          <w:lang w:eastAsia="fr-FR"/>
          <w14:ligatures w14:val="none"/>
        </w:rPr>
        <w:t xml:space="preserve"> les entreprises certifiées ;</w:t>
      </w:r>
    </w:p>
    <w:p w14:paraId="1F0ACC8E" w14:textId="77777777" w:rsidR="00057D57" w:rsidRPr="00057D57" w:rsidRDefault="00057D57" w:rsidP="00057D5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programmer</w:t>
      </w:r>
      <w:proofErr w:type="gramEnd"/>
      <w:r w:rsidRPr="00057D57">
        <w:rPr>
          <w:rFonts w:ascii="Times New Roman" w:eastAsia="Times New Roman" w:hAnsi="Times New Roman" w:cs="Times New Roman"/>
          <w:kern w:val="0"/>
          <w:sz w:val="24"/>
          <w:szCs w:val="24"/>
          <w:lang w:eastAsia="fr-FR"/>
          <w14:ligatures w14:val="none"/>
        </w:rPr>
        <w:t xml:space="preserve"> les missions de contrôle de la HAUQE ;</w:t>
      </w:r>
    </w:p>
    <w:p w14:paraId="7C562944" w14:textId="77777777" w:rsidR="00057D57" w:rsidRPr="00057D57" w:rsidRDefault="00057D57" w:rsidP="00057D5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suivre</w:t>
      </w:r>
      <w:proofErr w:type="gramEnd"/>
      <w:r w:rsidRPr="00057D57">
        <w:rPr>
          <w:rFonts w:ascii="Times New Roman" w:eastAsia="Times New Roman" w:hAnsi="Times New Roman" w:cs="Times New Roman"/>
          <w:kern w:val="0"/>
          <w:sz w:val="24"/>
          <w:szCs w:val="24"/>
          <w:lang w:eastAsia="fr-FR"/>
          <w14:ligatures w14:val="none"/>
        </w:rPr>
        <w:t xml:space="preserve"> les échéances des audits et des renouvellements ;</w:t>
      </w:r>
    </w:p>
    <w:p w14:paraId="107A1310" w14:textId="77777777" w:rsidR="00057D57" w:rsidRPr="00057D57" w:rsidRDefault="00057D57" w:rsidP="00057D5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alimenter</w:t>
      </w:r>
      <w:proofErr w:type="gramEnd"/>
      <w:r w:rsidRPr="00057D57">
        <w:rPr>
          <w:rFonts w:ascii="Times New Roman" w:eastAsia="Times New Roman" w:hAnsi="Times New Roman" w:cs="Times New Roman"/>
          <w:kern w:val="0"/>
          <w:sz w:val="24"/>
          <w:szCs w:val="24"/>
          <w:lang w:eastAsia="fr-FR"/>
          <w14:ligatures w14:val="none"/>
        </w:rPr>
        <w:t xml:space="preserve"> le tableau de bord national des certifications ;</w:t>
      </w:r>
    </w:p>
    <w:p w14:paraId="3639FBF1" w14:textId="77777777" w:rsidR="00057D57" w:rsidRPr="00057D57" w:rsidRDefault="00057D57" w:rsidP="00057D5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produire</w:t>
      </w:r>
      <w:proofErr w:type="gramEnd"/>
      <w:r w:rsidRPr="00057D57">
        <w:rPr>
          <w:rFonts w:ascii="Times New Roman" w:eastAsia="Times New Roman" w:hAnsi="Times New Roman" w:cs="Times New Roman"/>
          <w:kern w:val="0"/>
          <w:sz w:val="24"/>
          <w:szCs w:val="24"/>
          <w:lang w:eastAsia="fr-FR"/>
          <w14:ligatures w14:val="none"/>
        </w:rPr>
        <w:t xml:space="preserve"> les statistiques nationales par secteur, région, référentiel et organisme certificateur.</w:t>
      </w:r>
    </w:p>
    <w:p w14:paraId="6983300E"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5C63F313">
          <v:rect id="_x0000_i1029" style="width:0;height:1.5pt" o:hralign="center" o:hrstd="t" o:hr="t" fillcolor="#a0a0a0" stroked="f"/>
        </w:pict>
      </w:r>
    </w:p>
    <w:p w14:paraId="68D76B51"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6. Calcul de l'Indice National par secteur</w:t>
      </w:r>
    </w:p>
    <w:p w14:paraId="2B3CE149"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La HAUQE peut calculer un indice moyen pour chaque secteur prioritaire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110"/>
        <w:gridCol w:w="1320"/>
        <w:gridCol w:w="769"/>
      </w:tblGrid>
      <w:tr w:rsidR="00057D57" w:rsidRPr="00057D57" w14:paraId="037152B1" w14:textId="77777777">
        <w:trPr>
          <w:tblCellSpacing w:w="15" w:type="dxa"/>
        </w:trPr>
        <w:tc>
          <w:tcPr>
            <w:tcW w:w="0" w:type="auto"/>
            <w:vAlign w:val="center"/>
            <w:hideMark/>
          </w:tcPr>
          <w:p w14:paraId="599B85B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Secteur</w:t>
            </w:r>
          </w:p>
        </w:tc>
        <w:tc>
          <w:tcPr>
            <w:tcW w:w="0" w:type="auto"/>
            <w:vAlign w:val="center"/>
            <w:hideMark/>
          </w:tcPr>
          <w:p w14:paraId="3E6568F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Nombre d'entreprises</w:t>
            </w:r>
          </w:p>
        </w:tc>
        <w:tc>
          <w:tcPr>
            <w:tcW w:w="0" w:type="auto"/>
            <w:vAlign w:val="center"/>
            <w:hideMark/>
          </w:tcPr>
          <w:p w14:paraId="5377A683"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moyen</w:t>
            </w:r>
          </w:p>
        </w:tc>
        <w:tc>
          <w:tcPr>
            <w:tcW w:w="0" w:type="auto"/>
            <w:vAlign w:val="center"/>
            <w:hideMark/>
          </w:tcPr>
          <w:p w14:paraId="303BDBF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Niveau</w:t>
            </w:r>
          </w:p>
        </w:tc>
      </w:tr>
      <w:tr w:rsidR="00057D57" w:rsidRPr="00057D57" w14:paraId="047E7A25" w14:textId="77777777">
        <w:trPr>
          <w:tblCellSpacing w:w="15" w:type="dxa"/>
        </w:trPr>
        <w:tc>
          <w:tcPr>
            <w:tcW w:w="0" w:type="auto"/>
            <w:vAlign w:val="center"/>
            <w:hideMark/>
          </w:tcPr>
          <w:p w14:paraId="2D7E153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Agricole</w:t>
            </w:r>
          </w:p>
        </w:tc>
        <w:tc>
          <w:tcPr>
            <w:tcW w:w="0" w:type="auto"/>
            <w:vAlign w:val="center"/>
            <w:hideMark/>
          </w:tcPr>
          <w:p w14:paraId="59017CD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291ECFA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1E10C5B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2B30E7EA" w14:textId="77777777">
        <w:trPr>
          <w:tblCellSpacing w:w="15" w:type="dxa"/>
        </w:trPr>
        <w:tc>
          <w:tcPr>
            <w:tcW w:w="0" w:type="auto"/>
            <w:vAlign w:val="center"/>
            <w:hideMark/>
          </w:tcPr>
          <w:p w14:paraId="03207D7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Agroalimentaire</w:t>
            </w:r>
          </w:p>
        </w:tc>
        <w:tc>
          <w:tcPr>
            <w:tcW w:w="0" w:type="auto"/>
            <w:vAlign w:val="center"/>
            <w:hideMark/>
          </w:tcPr>
          <w:p w14:paraId="1078FAA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0C3548D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73374A7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0454F1D9" w14:textId="77777777">
        <w:trPr>
          <w:tblCellSpacing w:w="15" w:type="dxa"/>
        </w:trPr>
        <w:tc>
          <w:tcPr>
            <w:tcW w:w="0" w:type="auto"/>
            <w:vAlign w:val="center"/>
            <w:hideMark/>
          </w:tcPr>
          <w:p w14:paraId="0E3DBB7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Cosmétique</w:t>
            </w:r>
          </w:p>
        </w:tc>
        <w:tc>
          <w:tcPr>
            <w:tcW w:w="0" w:type="auto"/>
            <w:vAlign w:val="center"/>
            <w:hideMark/>
          </w:tcPr>
          <w:p w14:paraId="714DE506"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54580FB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5160A98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6A373071" w14:textId="77777777">
        <w:trPr>
          <w:tblCellSpacing w:w="15" w:type="dxa"/>
        </w:trPr>
        <w:tc>
          <w:tcPr>
            <w:tcW w:w="0" w:type="auto"/>
            <w:vAlign w:val="center"/>
            <w:hideMark/>
          </w:tcPr>
          <w:p w14:paraId="49CEB5B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Industriel</w:t>
            </w:r>
          </w:p>
        </w:tc>
        <w:tc>
          <w:tcPr>
            <w:tcW w:w="0" w:type="auto"/>
            <w:vAlign w:val="center"/>
            <w:hideMark/>
          </w:tcPr>
          <w:p w14:paraId="1A1E5446"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1893C1A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7778A3F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6DEB48BB" w14:textId="77777777">
        <w:trPr>
          <w:tblCellSpacing w:w="15" w:type="dxa"/>
        </w:trPr>
        <w:tc>
          <w:tcPr>
            <w:tcW w:w="0" w:type="auto"/>
            <w:vAlign w:val="center"/>
            <w:hideMark/>
          </w:tcPr>
          <w:p w14:paraId="624A46A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Autres</w:t>
            </w:r>
          </w:p>
        </w:tc>
        <w:tc>
          <w:tcPr>
            <w:tcW w:w="0" w:type="auto"/>
            <w:vAlign w:val="center"/>
            <w:hideMark/>
          </w:tcPr>
          <w:p w14:paraId="56863CB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76D3A7C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30D81D5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bl>
    <w:p w14:paraId="765226DD"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Cet indicateur permet d'identifier les secteurs nécessitant des actions de renforcement des capacités ou des contrôles ciblés.</w:t>
      </w:r>
    </w:p>
    <w:p w14:paraId="48A9F31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0170FCBE">
          <v:rect id="_x0000_i1030" style="width:0;height:1.5pt" o:hralign="center" o:hrstd="t" o:hr="t" fillcolor="#a0a0a0" stroked="f"/>
        </w:pict>
      </w:r>
    </w:p>
    <w:p w14:paraId="3ADF3DC7"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7. Calcul de l'Indice National par région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049"/>
        <w:gridCol w:w="1320"/>
        <w:gridCol w:w="769"/>
      </w:tblGrid>
      <w:tr w:rsidR="00057D57" w:rsidRPr="00057D57" w14:paraId="650A00F3" w14:textId="77777777">
        <w:trPr>
          <w:tblCellSpacing w:w="15" w:type="dxa"/>
        </w:trPr>
        <w:tc>
          <w:tcPr>
            <w:tcW w:w="0" w:type="auto"/>
            <w:vAlign w:val="center"/>
            <w:hideMark/>
          </w:tcPr>
          <w:p w14:paraId="2151CA4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Région</w:t>
            </w:r>
          </w:p>
        </w:tc>
        <w:tc>
          <w:tcPr>
            <w:tcW w:w="0" w:type="auto"/>
            <w:vAlign w:val="center"/>
            <w:hideMark/>
          </w:tcPr>
          <w:p w14:paraId="59C97DC6"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Nombre d'entreprises certifiées</w:t>
            </w:r>
          </w:p>
        </w:tc>
        <w:tc>
          <w:tcPr>
            <w:tcW w:w="0" w:type="auto"/>
            <w:vAlign w:val="center"/>
            <w:hideMark/>
          </w:tcPr>
          <w:p w14:paraId="21EB046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moyen</w:t>
            </w:r>
          </w:p>
        </w:tc>
        <w:tc>
          <w:tcPr>
            <w:tcW w:w="0" w:type="auto"/>
            <w:vAlign w:val="center"/>
            <w:hideMark/>
          </w:tcPr>
          <w:p w14:paraId="501587D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Niveau</w:t>
            </w:r>
          </w:p>
        </w:tc>
      </w:tr>
      <w:tr w:rsidR="00057D57" w:rsidRPr="00057D57" w14:paraId="4E16C558" w14:textId="77777777">
        <w:trPr>
          <w:tblCellSpacing w:w="15" w:type="dxa"/>
        </w:trPr>
        <w:tc>
          <w:tcPr>
            <w:tcW w:w="0" w:type="auto"/>
            <w:vAlign w:val="center"/>
            <w:hideMark/>
          </w:tcPr>
          <w:p w14:paraId="4BD3580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Maritime</w:t>
            </w:r>
          </w:p>
        </w:tc>
        <w:tc>
          <w:tcPr>
            <w:tcW w:w="0" w:type="auto"/>
            <w:vAlign w:val="center"/>
            <w:hideMark/>
          </w:tcPr>
          <w:p w14:paraId="05E5A22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558B3558"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588A561F"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18E4DDC9" w14:textId="77777777">
        <w:trPr>
          <w:tblCellSpacing w:w="15" w:type="dxa"/>
        </w:trPr>
        <w:tc>
          <w:tcPr>
            <w:tcW w:w="0" w:type="auto"/>
            <w:vAlign w:val="center"/>
            <w:hideMark/>
          </w:tcPr>
          <w:p w14:paraId="5A9D91E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Plateaux</w:t>
            </w:r>
          </w:p>
        </w:tc>
        <w:tc>
          <w:tcPr>
            <w:tcW w:w="0" w:type="auto"/>
            <w:vAlign w:val="center"/>
            <w:hideMark/>
          </w:tcPr>
          <w:p w14:paraId="69F2B842"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1F93B36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0056B18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22F17488" w14:textId="77777777">
        <w:trPr>
          <w:tblCellSpacing w:w="15" w:type="dxa"/>
        </w:trPr>
        <w:tc>
          <w:tcPr>
            <w:tcW w:w="0" w:type="auto"/>
            <w:vAlign w:val="center"/>
            <w:hideMark/>
          </w:tcPr>
          <w:p w14:paraId="1F1D30C7"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Centrale</w:t>
            </w:r>
          </w:p>
        </w:tc>
        <w:tc>
          <w:tcPr>
            <w:tcW w:w="0" w:type="auto"/>
            <w:vAlign w:val="center"/>
            <w:hideMark/>
          </w:tcPr>
          <w:p w14:paraId="3DE51273"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18018EC3"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0ECE7F2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768D0BAA" w14:textId="77777777">
        <w:trPr>
          <w:tblCellSpacing w:w="15" w:type="dxa"/>
        </w:trPr>
        <w:tc>
          <w:tcPr>
            <w:tcW w:w="0" w:type="auto"/>
            <w:vAlign w:val="center"/>
            <w:hideMark/>
          </w:tcPr>
          <w:p w14:paraId="24104C1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Kara</w:t>
            </w:r>
          </w:p>
        </w:tc>
        <w:tc>
          <w:tcPr>
            <w:tcW w:w="0" w:type="auto"/>
            <w:vAlign w:val="center"/>
            <w:hideMark/>
          </w:tcPr>
          <w:p w14:paraId="2042E6A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4197F45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7D851BEB"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3EBFEC61" w14:textId="77777777">
        <w:trPr>
          <w:tblCellSpacing w:w="15" w:type="dxa"/>
        </w:trPr>
        <w:tc>
          <w:tcPr>
            <w:tcW w:w="0" w:type="auto"/>
            <w:vAlign w:val="center"/>
            <w:hideMark/>
          </w:tcPr>
          <w:p w14:paraId="1C057E5C"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Savanes</w:t>
            </w:r>
          </w:p>
        </w:tc>
        <w:tc>
          <w:tcPr>
            <w:tcW w:w="0" w:type="auto"/>
            <w:vAlign w:val="center"/>
            <w:hideMark/>
          </w:tcPr>
          <w:p w14:paraId="19CD3DCE"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71C8CC0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3F47C0E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bl>
    <w:p w14:paraId="63DC2140"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669CBA85">
          <v:rect id="_x0000_i1031" style="width:0;height:1.5pt" o:hralign="center" o:hrstd="t" o:hr="t" fillcolor="#a0a0a0" stroked="f"/>
        </w:pict>
      </w:r>
    </w:p>
    <w:p w14:paraId="0EF47031"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8. Indice National Global</w:t>
      </w:r>
    </w:p>
    <w:p w14:paraId="5280B668"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À chaque mise à jour de la base nationale, la HAUQE calcule un indice global :</w:t>
      </w:r>
    </w:p>
    <w:p w14:paraId="2EE28CDF"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b/>
          <w:bCs/>
          <w:kern w:val="0"/>
          <w:sz w:val="24"/>
          <w:szCs w:val="24"/>
          <w:lang w:eastAsia="fr-FR"/>
          <w14:ligatures w14:val="none"/>
        </w:rPr>
        <w:t>INFC National = Moyenne des INFC de toutes les entreprises contrôlées</w:t>
      </w:r>
    </w:p>
    <w:p w14:paraId="44431FBA"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996"/>
        <w:gridCol w:w="1440"/>
        <w:gridCol w:w="1048"/>
      </w:tblGrid>
      <w:tr w:rsidR="00057D57" w:rsidRPr="00057D57" w14:paraId="4BCF8B3A" w14:textId="77777777">
        <w:trPr>
          <w:tblCellSpacing w:w="15" w:type="dxa"/>
        </w:trPr>
        <w:tc>
          <w:tcPr>
            <w:tcW w:w="0" w:type="auto"/>
            <w:vAlign w:val="center"/>
            <w:hideMark/>
          </w:tcPr>
          <w:p w14:paraId="5E24FECE"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Année</w:t>
            </w:r>
          </w:p>
        </w:tc>
        <w:tc>
          <w:tcPr>
            <w:tcW w:w="0" w:type="auto"/>
            <w:vAlign w:val="center"/>
            <w:hideMark/>
          </w:tcPr>
          <w:p w14:paraId="4C5015A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Nombre d'entreprises évaluées</w:t>
            </w:r>
          </w:p>
        </w:tc>
        <w:tc>
          <w:tcPr>
            <w:tcW w:w="0" w:type="auto"/>
            <w:vAlign w:val="center"/>
            <w:hideMark/>
          </w:tcPr>
          <w:p w14:paraId="375C7CD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national</w:t>
            </w:r>
          </w:p>
        </w:tc>
        <w:tc>
          <w:tcPr>
            <w:tcW w:w="0" w:type="auto"/>
            <w:vAlign w:val="center"/>
            <w:hideMark/>
          </w:tcPr>
          <w:p w14:paraId="722D3823"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Évolution</w:t>
            </w:r>
          </w:p>
        </w:tc>
      </w:tr>
      <w:tr w:rsidR="00057D57" w:rsidRPr="00057D57" w14:paraId="02F62650" w14:textId="77777777">
        <w:trPr>
          <w:tblCellSpacing w:w="15" w:type="dxa"/>
        </w:trPr>
        <w:tc>
          <w:tcPr>
            <w:tcW w:w="0" w:type="auto"/>
            <w:vAlign w:val="center"/>
            <w:hideMark/>
          </w:tcPr>
          <w:p w14:paraId="741D1B4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2026</w:t>
            </w:r>
          </w:p>
        </w:tc>
        <w:tc>
          <w:tcPr>
            <w:tcW w:w="0" w:type="auto"/>
            <w:vAlign w:val="center"/>
            <w:hideMark/>
          </w:tcPr>
          <w:p w14:paraId="1BACE351"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150</w:t>
            </w:r>
          </w:p>
        </w:tc>
        <w:tc>
          <w:tcPr>
            <w:tcW w:w="0" w:type="auto"/>
            <w:vAlign w:val="center"/>
            <w:hideMark/>
          </w:tcPr>
          <w:p w14:paraId="52995099"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84,7</w:t>
            </w:r>
          </w:p>
        </w:tc>
        <w:tc>
          <w:tcPr>
            <w:tcW w:w="0" w:type="auto"/>
            <w:vAlign w:val="center"/>
            <w:hideMark/>
          </w:tcPr>
          <w:p w14:paraId="5EB5E3EF"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Référence</w:t>
            </w:r>
          </w:p>
        </w:tc>
      </w:tr>
      <w:tr w:rsidR="00057D57" w:rsidRPr="00057D57" w14:paraId="2EB32806" w14:textId="77777777">
        <w:trPr>
          <w:tblCellSpacing w:w="15" w:type="dxa"/>
        </w:trPr>
        <w:tc>
          <w:tcPr>
            <w:tcW w:w="0" w:type="auto"/>
            <w:vAlign w:val="center"/>
            <w:hideMark/>
          </w:tcPr>
          <w:p w14:paraId="3828806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2027</w:t>
            </w:r>
          </w:p>
        </w:tc>
        <w:tc>
          <w:tcPr>
            <w:tcW w:w="0" w:type="auto"/>
            <w:vAlign w:val="center"/>
            <w:hideMark/>
          </w:tcPr>
          <w:p w14:paraId="04D3229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32E2377F"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2B77D1AA"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r w:rsidR="00057D57" w:rsidRPr="00057D57" w14:paraId="3AB7656A" w14:textId="77777777">
        <w:trPr>
          <w:tblCellSpacing w:w="15" w:type="dxa"/>
        </w:trPr>
        <w:tc>
          <w:tcPr>
            <w:tcW w:w="0" w:type="auto"/>
            <w:vAlign w:val="center"/>
            <w:hideMark/>
          </w:tcPr>
          <w:p w14:paraId="2A1329AD"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2028</w:t>
            </w:r>
          </w:p>
        </w:tc>
        <w:tc>
          <w:tcPr>
            <w:tcW w:w="0" w:type="auto"/>
            <w:vAlign w:val="center"/>
            <w:hideMark/>
          </w:tcPr>
          <w:p w14:paraId="3C328DDE"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7A794414"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c>
          <w:tcPr>
            <w:tcW w:w="0" w:type="auto"/>
            <w:vAlign w:val="center"/>
            <w:hideMark/>
          </w:tcPr>
          <w:p w14:paraId="1935A995"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p>
        </w:tc>
      </w:tr>
    </w:tbl>
    <w:p w14:paraId="28BA5466"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Cet indicateur permet de suivre, dans le temps, l'évolution de la fiabilité des certifications au Togo.</w:t>
      </w:r>
    </w:p>
    <w:p w14:paraId="0F448C13" w14:textId="77777777" w:rsidR="00057D57" w:rsidRPr="00057D57" w:rsidRDefault="00057D57" w:rsidP="00057D57">
      <w:pPr>
        <w:spacing w:after="0"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pict w14:anchorId="25AC74AF">
          <v:rect id="_x0000_i1032" style="width:0;height:1.5pt" o:hralign="center" o:hrstd="t" o:hr="t" fillcolor="#a0a0a0" stroked="f"/>
        </w:pict>
      </w:r>
    </w:p>
    <w:p w14:paraId="53BE5F29"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9. Tableau de bord décisionnel</w:t>
      </w:r>
    </w:p>
    <w:p w14:paraId="495592D1"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Le tableau de bord de la HAUQE présentera notamment :</w:t>
      </w:r>
    </w:p>
    <w:p w14:paraId="72EE3D7B"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national ;</w:t>
      </w:r>
    </w:p>
    <w:p w14:paraId="38B9848E"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par région ;</w:t>
      </w:r>
    </w:p>
    <w:p w14:paraId="401F1294"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par secteur d'activité ;</w:t>
      </w:r>
    </w:p>
    <w:p w14:paraId="03188D30"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par référentiel de certification ;</w:t>
      </w:r>
    </w:p>
    <w:p w14:paraId="5FED209C"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INFC par organisme certificateur ;</w:t>
      </w:r>
    </w:p>
    <w:p w14:paraId="2708E707"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nombre</w:t>
      </w:r>
      <w:proofErr w:type="gramEnd"/>
      <w:r w:rsidRPr="00057D57">
        <w:rPr>
          <w:rFonts w:ascii="Times New Roman" w:eastAsia="Times New Roman" w:hAnsi="Times New Roman" w:cs="Times New Roman"/>
          <w:kern w:val="0"/>
          <w:sz w:val="24"/>
          <w:szCs w:val="24"/>
          <w:lang w:eastAsia="fr-FR"/>
          <w14:ligatures w14:val="none"/>
        </w:rPr>
        <w:t xml:space="preserve"> de certificats en risque critique ;</w:t>
      </w:r>
    </w:p>
    <w:p w14:paraId="1B93C6AB"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nombre</w:t>
      </w:r>
      <w:proofErr w:type="gramEnd"/>
      <w:r w:rsidRPr="00057D57">
        <w:rPr>
          <w:rFonts w:ascii="Times New Roman" w:eastAsia="Times New Roman" w:hAnsi="Times New Roman" w:cs="Times New Roman"/>
          <w:kern w:val="0"/>
          <w:sz w:val="24"/>
          <w:szCs w:val="24"/>
          <w:lang w:eastAsia="fr-FR"/>
          <w14:ligatures w14:val="none"/>
        </w:rPr>
        <w:t xml:space="preserve"> de certificats arrivant à échéance dans les 3, 6 et 12 prochains mois ;</w:t>
      </w:r>
    </w:p>
    <w:p w14:paraId="0F3960C5"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taux</w:t>
      </w:r>
      <w:proofErr w:type="gramEnd"/>
      <w:r w:rsidRPr="00057D57">
        <w:rPr>
          <w:rFonts w:ascii="Times New Roman" w:eastAsia="Times New Roman" w:hAnsi="Times New Roman" w:cs="Times New Roman"/>
          <w:kern w:val="0"/>
          <w:sz w:val="24"/>
          <w:szCs w:val="24"/>
          <w:lang w:eastAsia="fr-FR"/>
          <w14:ligatures w14:val="none"/>
        </w:rPr>
        <w:t xml:space="preserve"> de renouvellement des certifications ;</w:t>
      </w:r>
    </w:p>
    <w:p w14:paraId="27422675" w14:textId="77777777" w:rsidR="00057D57" w:rsidRPr="00057D57" w:rsidRDefault="00057D57" w:rsidP="00057D5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taux</w:t>
      </w:r>
      <w:proofErr w:type="gramEnd"/>
      <w:r w:rsidRPr="00057D57">
        <w:rPr>
          <w:rFonts w:ascii="Times New Roman" w:eastAsia="Times New Roman" w:hAnsi="Times New Roman" w:cs="Times New Roman"/>
          <w:kern w:val="0"/>
          <w:sz w:val="24"/>
          <w:szCs w:val="24"/>
          <w:lang w:eastAsia="fr-FR"/>
          <w14:ligatures w14:val="none"/>
        </w:rPr>
        <w:t xml:space="preserve"> de maintien des certifications.</w:t>
      </w:r>
    </w:p>
    <w:p w14:paraId="76A85FF0" w14:textId="77777777" w:rsidR="00057D57" w:rsidRPr="00057D57" w:rsidRDefault="00057D57" w:rsidP="00057D5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57D57">
        <w:rPr>
          <w:rFonts w:ascii="Times New Roman" w:eastAsia="Times New Roman" w:hAnsi="Times New Roman" w:cs="Times New Roman"/>
          <w:b/>
          <w:bCs/>
          <w:kern w:val="36"/>
          <w:sz w:val="48"/>
          <w:szCs w:val="48"/>
          <w:lang w:eastAsia="fr-FR"/>
          <w14:ligatures w14:val="none"/>
        </w:rPr>
        <w:t>10. Valeur stratégique de l'INFC</w:t>
      </w:r>
    </w:p>
    <w:p w14:paraId="3475651C" w14:textId="77777777" w:rsidR="00057D57" w:rsidRP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7D57">
        <w:rPr>
          <w:rFonts w:ascii="Times New Roman" w:eastAsia="Times New Roman" w:hAnsi="Times New Roman" w:cs="Times New Roman"/>
          <w:kern w:val="0"/>
          <w:sz w:val="24"/>
          <w:szCs w:val="24"/>
          <w:lang w:eastAsia="fr-FR"/>
          <w14:ligatures w14:val="none"/>
        </w:rPr>
        <w:t>L'Indice National de Fiabilité des Certifications constitue un outil d'aide à la décision permettant à la HAUQE :</w:t>
      </w:r>
    </w:p>
    <w:p w14:paraId="16B4C4CE" w14:textId="77777777" w:rsidR="00057D57" w:rsidRPr="00057D57" w:rsidRDefault="00057D57" w:rsidP="00057D5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d'orienter</w:t>
      </w:r>
      <w:proofErr w:type="gramEnd"/>
      <w:r w:rsidRPr="00057D57">
        <w:rPr>
          <w:rFonts w:ascii="Times New Roman" w:eastAsia="Times New Roman" w:hAnsi="Times New Roman" w:cs="Times New Roman"/>
          <w:kern w:val="0"/>
          <w:sz w:val="24"/>
          <w:szCs w:val="24"/>
          <w:lang w:eastAsia="fr-FR"/>
          <w14:ligatures w14:val="none"/>
        </w:rPr>
        <w:t xml:space="preserve"> les priorités de contrôle sur une base objective ;</w:t>
      </w:r>
    </w:p>
    <w:p w14:paraId="2FEEE050" w14:textId="77777777" w:rsidR="00057D57" w:rsidRPr="00057D57" w:rsidRDefault="00057D57" w:rsidP="00057D5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de</w:t>
      </w:r>
      <w:proofErr w:type="gramEnd"/>
      <w:r w:rsidRPr="00057D57">
        <w:rPr>
          <w:rFonts w:ascii="Times New Roman" w:eastAsia="Times New Roman" w:hAnsi="Times New Roman" w:cs="Times New Roman"/>
          <w:kern w:val="0"/>
          <w:sz w:val="24"/>
          <w:szCs w:val="24"/>
          <w:lang w:eastAsia="fr-FR"/>
          <w14:ligatures w14:val="none"/>
        </w:rPr>
        <w:t xml:space="preserve"> mesurer l'efficacité des politiques publiques en matière de qualité ;</w:t>
      </w:r>
    </w:p>
    <w:p w14:paraId="7A202FDB" w14:textId="77777777" w:rsidR="00057D57" w:rsidRPr="00057D57" w:rsidRDefault="00057D57" w:rsidP="00057D5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de</w:t>
      </w:r>
      <w:proofErr w:type="gramEnd"/>
      <w:r w:rsidRPr="00057D57">
        <w:rPr>
          <w:rFonts w:ascii="Times New Roman" w:eastAsia="Times New Roman" w:hAnsi="Times New Roman" w:cs="Times New Roman"/>
          <w:kern w:val="0"/>
          <w:sz w:val="24"/>
          <w:szCs w:val="24"/>
          <w:lang w:eastAsia="fr-FR"/>
          <w14:ligatures w14:val="none"/>
        </w:rPr>
        <w:t xml:space="preserve"> renforcer la confiance des partenaires techniques et financiers dans le système national de certification ;</w:t>
      </w:r>
    </w:p>
    <w:p w14:paraId="3FD8D9BF" w14:textId="77777777" w:rsidR="00057D57" w:rsidRPr="00057D57" w:rsidRDefault="00057D57" w:rsidP="00057D5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de</w:t>
      </w:r>
      <w:proofErr w:type="gramEnd"/>
      <w:r w:rsidRPr="00057D57">
        <w:rPr>
          <w:rFonts w:ascii="Times New Roman" w:eastAsia="Times New Roman" w:hAnsi="Times New Roman" w:cs="Times New Roman"/>
          <w:kern w:val="0"/>
          <w:sz w:val="24"/>
          <w:szCs w:val="24"/>
          <w:lang w:eastAsia="fr-FR"/>
          <w14:ligatures w14:val="none"/>
        </w:rPr>
        <w:t xml:space="preserve"> suivre l'évolution de la qualité des certifications dans les secteurs prioritaires, notamment agricole, agroalimentaire et cosmétique ;</w:t>
      </w:r>
    </w:p>
    <w:p w14:paraId="7D265185" w14:textId="77777777" w:rsidR="00057D57" w:rsidRDefault="00057D57" w:rsidP="00057D5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057D57">
        <w:rPr>
          <w:rFonts w:ascii="Times New Roman" w:eastAsia="Times New Roman" w:hAnsi="Times New Roman" w:cs="Times New Roman"/>
          <w:kern w:val="0"/>
          <w:sz w:val="24"/>
          <w:szCs w:val="24"/>
          <w:lang w:eastAsia="fr-FR"/>
          <w14:ligatures w14:val="none"/>
        </w:rPr>
        <w:t>de</w:t>
      </w:r>
      <w:proofErr w:type="gramEnd"/>
      <w:r w:rsidRPr="00057D57">
        <w:rPr>
          <w:rFonts w:ascii="Times New Roman" w:eastAsia="Times New Roman" w:hAnsi="Times New Roman" w:cs="Times New Roman"/>
          <w:kern w:val="0"/>
          <w:sz w:val="24"/>
          <w:szCs w:val="24"/>
          <w:lang w:eastAsia="fr-FR"/>
          <w14:ligatures w14:val="none"/>
        </w:rPr>
        <w:t xml:space="preserve"> disposer d'un indicateur national unique pouvant être publié dans le rapport annuel de la HAUQE et utilisé comme référence pour les décisions stratégiques.</w:t>
      </w:r>
    </w:p>
    <w:p w14:paraId="1076BBC2" w14:textId="77777777" w:rsidR="00057D57" w:rsidRDefault="00057D57" w:rsidP="00057D5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73A026F" w14:textId="32EBAF93" w:rsidR="00057D57" w:rsidRPr="00057D57" w:rsidRDefault="00057D57" w:rsidP="00057D57">
      <w:pPr>
        <w:spacing w:before="100" w:beforeAutospacing="1" w:after="100" w:afterAutospacing="1" w:line="240" w:lineRule="auto"/>
        <w:jc w:val="both"/>
        <w:rPr>
          <w:rFonts w:ascii="Times New Roman" w:eastAsia="Times New Roman" w:hAnsi="Times New Roman" w:cs="Times New Roman"/>
          <w:b/>
          <w:bCs/>
          <w:i/>
          <w:iCs/>
          <w:kern w:val="0"/>
          <w:sz w:val="24"/>
          <w:szCs w:val="24"/>
          <w:lang w:eastAsia="fr-FR"/>
          <w14:ligatures w14:val="none"/>
        </w:rPr>
      </w:pPr>
      <w:r w:rsidRPr="00057D57">
        <w:rPr>
          <w:rFonts w:ascii="Times New Roman" w:eastAsia="Times New Roman" w:hAnsi="Times New Roman" w:cs="Times New Roman"/>
          <w:b/>
          <w:bCs/>
          <w:i/>
          <w:iCs/>
          <w:kern w:val="0"/>
          <w:sz w:val="24"/>
          <w:szCs w:val="24"/>
          <w:lang w:eastAsia="fr-FR"/>
          <w14:ligatures w14:val="none"/>
        </w:rPr>
        <w:t>Cette proposition positionne la HAUQE non seulement comme un organisme de contrôle, mais également comme une institution capable de produire des indicateurs nationaux de performance sur les certifications. L'INFC peut devenir un outil de gouvernance permettant d'identifier les tendances, de cibler les contrôles et de mesurer l'amélioration continue du système national de certification.</w:t>
      </w:r>
    </w:p>
    <w:p w14:paraId="7C02621F" w14:textId="77777777" w:rsidR="00886CA7" w:rsidRDefault="00886CA7"/>
    <w:sectPr w:rsidR="00886C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D0A7756"/>
    <w:multiLevelType w:val="multilevel"/>
    <w:tmpl w:val="EF8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02762"/>
    <w:multiLevelType w:val="multilevel"/>
    <w:tmpl w:val="4A7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90833"/>
    <w:multiLevelType w:val="multilevel"/>
    <w:tmpl w:val="702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7FD1438F"/>
    <w:multiLevelType w:val="multilevel"/>
    <w:tmpl w:val="31B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4"/>
  </w:num>
  <w:num w:numId="2" w16cid:durableId="1193958574">
    <w:abstractNumId w:val="0"/>
  </w:num>
  <w:num w:numId="3" w16cid:durableId="1042680673">
    <w:abstractNumId w:val="3"/>
  </w:num>
  <w:num w:numId="4" w16cid:durableId="1410732496">
    <w:abstractNumId w:val="5"/>
  </w:num>
  <w:num w:numId="5" w16cid:durableId="1578319510">
    <w:abstractNumId w:val="2"/>
  </w:num>
  <w:num w:numId="6" w16cid:durableId="12735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57"/>
    <w:rsid w:val="00057D57"/>
    <w:rsid w:val="00161EB4"/>
    <w:rsid w:val="00193D64"/>
    <w:rsid w:val="006E1781"/>
    <w:rsid w:val="00886CA7"/>
    <w:rsid w:val="00A12350"/>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AA40"/>
  <w15:chartTrackingRefBased/>
  <w15:docId w15:val="{D59C0B7E-BFE0-45D1-BEA6-78B58873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7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57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40" w:after="0" w:line="240" w:lineRule="auto"/>
      <w:ind w:left="720"/>
      <w:jc w:val="both"/>
      <w:outlineLvl w:val="2"/>
    </w:pPr>
    <w:rPr>
      <w:rFonts w:ascii="Arial" w:eastAsiaTheme="majorEastAsia" w:hAnsi="Arial" w:cstheme="majorBidi"/>
      <w:b/>
      <w:sz w:val="24"/>
      <w:szCs w:val="24"/>
    </w:rPr>
  </w:style>
  <w:style w:type="paragraph" w:styleId="Titre4">
    <w:name w:val="heading 4"/>
    <w:basedOn w:val="Normal"/>
    <w:next w:val="Normal"/>
    <w:link w:val="Titre4Car"/>
    <w:uiPriority w:val="9"/>
    <w:semiHidden/>
    <w:unhideWhenUsed/>
    <w:qFormat/>
    <w:rsid w:val="00057D5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57D5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57D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7D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7D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7D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057D5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57D57"/>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057D5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57D5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57D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7D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7D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7D57"/>
    <w:rPr>
      <w:rFonts w:eastAsiaTheme="majorEastAsia" w:cstheme="majorBidi"/>
      <w:color w:val="272727" w:themeColor="text1" w:themeTint="D8"/>
    </w:rPr>
  </w:style>
  <w:style w:type="paragraph" w:styleId="Titre">
    <w:name w:val="Title"/>
    <w:basedOn w:val="Normal"/>
    <w:next w:val="Normal"/>
    <w:link w:val="TitreCar"/>
    <w:uiPriority w:val="10"/>
    <w:qFormat/>
    <w:rsid w:val="00057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7D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7D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7D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7D57"/>
    <w:pPr>
      <w:spacing w:before="160"/>
      <w:jc w:val="center"/>
    </w:pPr>
    <w:rPr>
      <w:i/>
      <w:iCs/>
      <w:color w:val="404040" w:themeColor="text1" w:themeTint="BF"/>
    </w:rPr>
  </w:style>
  <w:style w:type="character" w:customStyle="1" w:styleId="CitationCar">
    <w:name w:val="Citation Car"/>
    <w:basedOn w:val="Policepardfaut"/>
    <w:link w:val="Citation"/>
    <w:uiPriority w:val="29"/>
    <w:rsid w:val="00057D57"/>
    <w:rPr>
      <w:i/>
      <w:iCs/>
      <w:color w:val="404040" w:themeColor="text1" w:themeTint="BF"/>
    </w:rPr>
  </w:style>
  <w:style w:type="paragraph" w:styleId="Paragraphedeliste">
    <w:name w:val="List Paragraph"/>
    <w:basedOn w:val="Normal"/>
    <w:uiPriority w:val="34"/>
    <w:qFormat/>
    <w:rsid w:val="00057D57"/>
    <w:pPr>
      <w:ind w:left="720"/>
      <w:contextualSpacing/>
    </w:pPr>
  </w:style>
  <w:style w:type="character" w:styleId="Accentuationintense">
    <w:name w:val="Intense Emphasis"/>
    <w:basedOn w:val="Policepardfaut"/>
    <w:uiPriority w:val="21"/>
    <w:qFormat/>
    <w:rsid w:val="00057D57"/>
    <w:rPr>
      <w:i/>
      <w:iCs/>
      <w:color w:val="2F5496" w:themeColor="accent1" w:themeShade="BF"/>
    </w:rPr>
  </w:style>
  <w:style w:type="paragraph" w:styleId="Citationintense">
    <w:name w:val="Intense Quote"/>
    <w:basedOn w:val="Normal"/>
    <w:next w:val="Normal"/>
    <w:link w:val="CitationintenseCar"/>
    <w:uiPriority w:val="30"/>
    <w:qFormat/>
    <w:rsid w:val="00057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57D57"/>
    <w:rPr>
      <w:i/>
      <w:iCs/>
      <w:color w:val="2F5496" w:themeColor="accent1" w:themeShade="BF"/>
    </w:rPr>
  </w:style>
  <w:style w:type="character" w:styleId="Rfrenceintense">
    <w:name w:val="Intense Reference"/>
    <w:basedOn w:val="Policepardfaut"/>
    <w:uiPriority w:val="32"/>
    <w:qFormat/>
    <w:rsid w:val="00057D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798</Words>
  <Characters>4395</Characters>
  <Application>Microsoft Office Word</Application>
  <DocSecurity>0</DocSecurity>
  <Lines>36</Lines>
  <Paragraphs>10</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HAUTE AUTORITÉ DE LA QUALITÉ ET DE L'ENVIRONNEMENT (HAUQE)</vt:lpstr>
      <vt:lpstr>INDICE NATIONAL DE FIABILITÉ DES CERTIFICATIONS (INFC)</vt:lpstr>
      <vt:lpstr>    1. Définition</vt:lpstr>
      <vt:lpstr>2. Calcul de l'INFC</vt:lpstr>
      <vt:lpstr>3. Niveaux de performance de l'INFC</vt:lpstr>
      <vt:lpstr>4. Code couleur</vt:lpstr>
      <vt:lpstr>5. Utilisation de l'INFC</vt:lpstr>
      <vt:lpstr>6. Calcul de l'Indice National par secteur</vt:lpstr>
      <vt:lpstr>7. Calcul de l'Indice National par région</vt:lpstr>
      <vt:lpstr>8. Indice National Global</vt:lpstr>
      <vt:lpstr>9. Tableau de bord décisionnel</vt:lpstr>
      <vt:lpstr>10. Valeur stratégique de l'INFC</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Nyanutse, Yawo</dc:creator>
  <cp:keywords/>
  <dc:description/>
  <cp:lastModifiedBy>Nyanutse, Yawo</cp:lastModifiedBy>
  <cp:revision>1</cp:revision>
  <dcterms:created xsi:type="dcterms:W3CDTF">2026-07-15T21:21:00Z</dcterms:created>
  <dcterms:modified xsi:type="dcterms:W3CDTF">2026-07-15T22:27:00Z</dcterms:modified>
</cp:coreProperties>
</file>