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Présentation orale alignée sur les 12 slides</w:t>
      </w:r>
    </w:p>
    <w:p>
      <w:pPr>
        <w:pStyle w:val="Heading2"/>
        <w:jc w:val="center"/>
      </w:pPr>
      <w:r>
        <w:t>Réunion de cadrage — Activités R1.3.5 &amp; R1.4.3</w:t>
      </w:r>
    </w:p>
    <w:p>
      <w:pPr>
        <w:pStyle w:val="Meta"/>
        <w:jc w:val="center"/>
      </w:pPr>
      <w:r>
        <w:t>Développement de la base de données des entreprises certifiées et appui au contrôle des certifications</w:t>
      </w:r>
    </w:p>
    <w:p>
      <w:pPr>
        <w:pStyle w:val="Meta"/>
        <w:jc w:val="center"/>
      </w:pPr>
      <w:r>
        <w:t>Version concise, harmonisée HAUQE – GFA.</w:t>
      </w:r>
    </w:p>
    <w:p>
      <w:pPr>
        <w:spacing w:after="140"/>
        <w:pBdr>
          <w:bottom w:val="single" w:sz="8" w:space="1" w:color="00B7A8"/>
        </w:pBdr>
      </w:pPr>
    </w:p>
    <w:p>
      <w:pPr>
        <w:pStyle w:val="Heading1"/>
      </w:pPr>
      <w:r>
        <w:t>Conseil d’utilisation</w:t>
      </w:r>
    </w:p>
    <w:p>
      <w:pPr>
        <w:pStyle w:val="Oral"/>
      </w:pPr>
      <w:r>
        <w:rPr>
          <w:b/>
        </w:rPr>
        <w:t xml:space="preserve">Cette version est conçue pour une présentation orale fluide de 10 à 12 minutes. </w:t>
      </w:r>
      <w:r>
        <w:t>Elle évite les répétitions de l’ancienne version : chaque slide porte un message précis, et l’oral complète la slide sans la lire mot à mot.</w:t>
      </w:r>
    </w:p>
    <w:p>
      <w:pPr>
        <w:pStyle w:val="Heading1"/>
      </w:pPr>
      <w:r>
        <w:t>Structure proposée et durée indicative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0B2848"/>
          </w:tcPr>
          <w:p>
            <w:pPr>
              <w:pStyle w:val="Meta"/>
              <w:spacing w:after="0"/>
            </w:pPr>
            <w:r>
              <w:rPr>
                <w:b/>
                <w:color w:val="FFFFFF"/>
              </w:rPr>
              <w:t>Slide</w:t>
            </w:r>
          </w:p>
        </w:tc>
        <w:tc>
          <w:tcPr>
            <w:tcW w:type="dxa" w:w="3408"/>
            <w:vAlign w:val="center"/>
            <w:shd w:fill="0B2848"/>
          </w:tcPr>
          <w:p>
            <w:pPr>
              <w:pStyle w:val="Meta"/>
              <w:spacing w:after="0"/>
            </w:pPr>
            <w:r>
              <w:rPr>
                <w:b/>
                <w:color w:val="FFFFFF"/>
              </w:rPr>
              <w:t>Titre</w:t>
            </w:r>
          </w:p>
        </w:tc>
        <w:tc>
          <w:tcPr>
            <w:tcW w:type="dxa" w:w="3408"/>
            <w:vAlign w:val="center"/>
            <w:shd w:fill="0B2848"/>
          </w:tcPr>
          <w:p>
            <w:pPr>
              <w:pStyle w:val="Meta"/>
              <w:spacing w:after="0"/>
            </w:pPr>
            <w:r>
              <w:rPr>
                <w:b/>
                <w:color w:val="FFFFFF"/>
              </w:rPr>
              <w:t>Durée</w:t>
            </w:r>
          </w:p>
        </w:tc>
      </w:tr>
      <w:tr>
        <w:tc>
          <w:tcPr>
            <w:tcW w:type="dxa" w:w="3408"/>
            <w:vAlign w:val="center"/>
          </w:tcPr>
          <w:p>
            <w:pPr>
              <w:pStyle w:val="Meta"/>
              <w:spacing w:after="0"/>
            </w:pPr>
            <w:r>
              <w:t>1</w:t>
            </w:r>
          </w:p>
        </w:tc>
        <w:tc>
          <w:tcPr>
            <w:tcW w:type="dxa" w:w="3408"/>
            <w:vAlign w:val="center"/>
          </w:tcPr>
          <w:p>
            <w:pPr>
              <w:pStyle w:val="Meta"/>
              <w:spacing w:after="0"/>
            </w:pPr>
            <w:r>
              <w:t>Mot d’ouverture / Titre</w:t>
            </w:r>
          </w:p>
        </w:tc>
        <w:tc>
          <w:tcPr>
            <w:tcW w:type="dxa" w:w="3408"/>
            <w:vAlign w:val="center"/>
          </w:tcPr>
          <w:p>
            <w:pPr>
              <w:pStyle w:val="Meta"/>
              <w:spacing w:after="0"/>
            </w:pPr>
            <w:r>
              <w:t>45 secondes</w:t>
            </w:r>
          </w:p>
        </w:tc>
      </w:tr>
      <w:tr>
        <w:tc>
          <w:tcPr>
            <w:tcW w:type="dxa" w:w="3408"/>
            <w:vAlign w:val="center"/>
          </w:tcPr>
          <w:p>
            <w:pPr>
              <w:pStyle w:val="Meta"/>
              <w:spacing w:after="0"/>
            </w:pPr>
            <w:r>
              <w:t>2</w:t>
            </w:r>
          </w:p>
        </w:tc>
        <w:tc>
          <w:tcPr>
            <w:tcW w:type="dxa" w:w="3408"/>
            <w:vAlign w:val="center"/>
          </w:tcPr>
          <w:p>
            <w:pPr>
              <w:pStyle w:val="Meta"/>
              <w:spacing w:after="0"/>
            </w:pPr>
            <w:r>
              <w:t>Objectifs de la réunion</w:t>
            </w:r>
          </w:p>
        </w:tc>
        <w:tc>
          <w:tcPr>
            <w:tcW w:type="dxa" w:w="3408"/>
            <w:vAlign w:val="center"/>
          </w:tcPr>
          <w:p>
            <w:pPr>
              <w:pStyle w:val="Meta"/>
              <w:spacing w:after="0"/>
            </w:pPr>
            <w:r>
              <w:t>50 secondes</w:t>
            </w:r>
          </w:p>
        </w:tc>
      </w:tr>
      <w:tr>
        <w:tc>
          <w:tcPr>
            <w:tcW w:type="dxa" w:w="3408"/>
            <w:vAlign w:val="center"/>
          </w:tcPr>
          <w:p>
            <w:pPr>
              <w:pStyle w:val="Meta"/>
              <w:spacing w:after="0"/>
            </w:pPr>
            <w:r>
              <w:t>3</w:t>
            </w:r>
          </w:p>
        </w:tc>
        <w:tc>
          <w:tcPr>
            <w:tcW w:type="dxa" w:w="3408"/>
            <w:vAlign w:val="center"/>
          </w:tcPr>
          <w:p>
            <w:pPr>
              <w:pStyle w:val="Meta"/>
              <w:spacing w:after="0"/>
            </w:pPr>
            <w:r>
              <w:t>Contexte / problème à résoudre</w:t>
            </w:r>
          </w:p>
        </w:tc>
        <w:tc>
          <w:tcPr>
            <w:tcW w:type="dxa" w:w="3408"/>
            <w:vAlign w:val="center"/>
          </w:tcPr>
          <w:p>
            <w:pPr>
              <w:pStyle w:val="Meta"/>
              <w:spacing w:after="0"/>
            </w:pPr>
            <w:r>
              <w:t>1 minute</w:t>
            </w:r>
          </w:p>
        </w:tc>
      </w:tr>
      <w:tr>
        <w:tc>
          <w:tcPr>
            <w:tcW w:type="dxa" w:w="3408"/>
            <w:vAlign w:val="center"/>
          </w:tcPr>
          <w:p>
            <w:pPr>
              <w:pStyle w:val="Meta"/>
              <w:spacing w:after="0"/>
            </w:pPr>
            <w:r>
              <w:t>4</w:t>
            </w:r>
          </w:p>
        </w:tc>
        <w:tc>
          <w:tcPr>
            <w:tcW w:type="dxa" w:w="3408"/>
            <w:vAlign w:val="center"/>
          </w:tcPr>
          <w:p>
            <w:pPr>
              <w:pStyle w:val="Meta"/>
              <w:spacing w:after="0"/>
            </w:pPr>
            <w:r>
              <w:t>Vision du système cible</w:t>
            </w:r>
          </w:p>
        </w:tc>
        <w:tc>
          <w:tcPr>
            <w:tcW w:type="dxa" w:w="3408"/>
            <w:vAlign w:val="center"/>
          </w:tcPr>
          <w:p>
            <w:pPr>
              <w:pStyle w:val="Meta"/>
              <w:spacing w:after="0"/>
            </w:pPr>
            <w:r>
              <w:t>1 minute</w:t>
            </w:r>
          </w:p>
        </w:tc>
      </w:tr>
      <w:tr>
        <w:tc>
          <w:tcPr>
            <w:tcW w:type="dxa" w:w="3408"/>
            <w:vAlign w:val="center"/>
          </w:tcPr>
          <w:p>
            <w:pPr>
              <w:pStyle w:val="Meta"/>
              <w:spacing w:after="0"/>
            </w:pPr>
            <w:r>
              <w:t>5</w:t>
            </w:r>
          </w:p>
        </w:tc>
        <w:tc>
          <w:tcPr>
            <w:tcW w:type="dxa" w:w="3408"/>
            <w:vAlign w:val="center"/>
          </w:tcPr>
          <w:p>
            <w:pPr>
              <w:pStyle w:val="Meta"/>
              <w:spacing w:after="0"/>
            </w:pPr>
            <w:r>
              <w:t>Complémentarité R1.3.5 + R1.4.3</w:t>
            </w:r>
          </w:p>
        </w:tc>
        <w:tc>
          <w:tcPr>
            <w:tcW w:type="dxa" w:w="3408"/>
            <w:vAlign w:val="center"/>
          </w:tcPr>
          <w:p>
            <w:pPr>
              <w:pStyle w:val="Meta"/>
              <w:spacing w:after="0"/>
            </w:pPr>
            <w:r>
              <w:t>1 minute</w:t>
            </w:r>
          </w:p>
        </w:tc>
      </w:tr>
      <w:tr>
        <w:tc>
          <w:tcPr>
            <w:tcW w:type="dxa" w:w="3408"/>
            <w:vAlign w:val="center"/>
          </w:tcPr>
          <w:p>
            <w:pPr>
              <w:pStyle w:val="Meta"/>
              <w:spacing w:after="0"/>
            </w:pPr>
            <w:r>
              <w:t>6</w:t>
            </w:r>
          </w:p>
        </w:tc>
        <w:tc>
          <w:tcPr>
            <w:tcW w:type="dxa" w:w="3408"/>
            <w:vAlign w:val="center"/>
          </w:tcPr>
          <w:p>
            <w:pPr>
              <w:pStyle w:val="Meta"/>
              <w:spacing w:after="0"/>
            </w:pPr>
            <w:r>
              <w:t>Ce que couvre R1.3.5</w:t>
            </w:r>
          </w:p>
        </w:tc>
        <w:tc>
          <w:tcPr>
            <w:tcW w:type="dxa" w:w="3408"/>
            <w:vAlign w:val="center"/>
          </w:tcPr>
          <w:p>
            <w:pPr>
              <w:pStyle w:val="Meta"/>
              <w:spacing w:after="0"/>
            </w:pPr>
            <w:r>
              <w:t>1 minute</w:t>
            </w:r>
          </w:p>
        </w:tc>
      </w:tr>
      <w:tr>
        <w:tc>
          <w:tcPr>
            <w:tcW w:type="dxa" w:w="3408"/>
            <w:vAlign w:val="center"/>
          </w:tcPr>
          <w:p>
            <w:pPr>
              <w:pStyle w:val="Meta"/>
              <w:spacing w:after="0"/>
            </w:pPr>
            <w:r>
              <w:t>7</w:t>
            </w:r>
          </w:p>
        </w:tc>
        <w:tc>
          <w:tcPr>
            <w:tcW w:type="dxa" w:w="3408"/>
            <w:vAlign w:val="center"/>
          </w:tcPr>
          <w:p>
            <w:pPr>
              <w:pStyle w:val="Meta"/>
              <w:spacing w:after="0"/>
            </w:pPr>
            <w:r>
              <w:t>Ce que couvre R1.4.3</w:t>
            </w:r>
          </w:p>
        </w:tc>
        <w:tc>
          <w:tcPr>
            <w:tcW w:type="dxa" w:w="3408"/>
            <w:vAlign w:val="center"/>
          </w:tcPr>
          <w:p>
            <w:pPr>
              <w:pStyle w:val="Meta"/>
              <w:spacing w:after="0"/>
            </w:pPr>
            <w:r>
              <w:t>1 minute</w:t>
            </w:r>
          </w:p>
        </w:tc>
      </w:tr>
      <w:tr>
        <w:tc>
          <w:tcPr>
            <w:tcW w:type="dxa" w:w="3408"/>
            <w:vAlign w:val="center"/>
          </w:tcPr>
          <w:p>
            <w:pPr>
              <w:pStyle w:val="Meta"/>
              <w:spacing w:after="0"/>
            </w:pPr>
            <w:r>
              <w:t>8</w:t>
            </w:r>
          </w:p>
        </w:tc>
        <w:tc>
          <w:tcPr>
            <w:tcW w:type="dxa" w:w="3408"/>
            <w:vAlign w:val="center"/>
          </w:tcPr>
          <w:p>
            <w:pPr>
              <w:pStyle w:val="Meta"/>
              <w:spacing w:after="0"/>
            </w:pPr>
            <w:r>
              <w:t>Méthodologie / grandes étapes</w:t>
            </w:r>
          </w:p>
        </w:tc>
        <w:tc>
          <w:tcPr>
            <w:tcW w:type="dxa" w:w="3408"/>
            <w:vAlign w:val="center"/>
          </w:tcPr>
          <w:p>
            <w:pPr>
              <w:pStyle w:val="Meta"/>
              <w:spacing w:after="0"/>
            </w:pPr>
            <w:r>
              <w:t>1 minute 10</w:t>
            </w:r>
          </w:p>
        </w:tc>
      </w:tr>
      <w:tr>
        <w:tc>
          <w:tcPr>
            <w:tcW w:type="dxa" w:w="3408"/>
            <w:vAlign w:val="center"/>
          </w:tcPr>
          <w:p>
            <w:pPr>
              <w:pStyle w:val="Meta"/>
              <w:spacing w:after="0"/>
            </w:pPr>
            <w:r>
              <w:t>9</w:t>
            </w:r>
          </w:p>
        </w:tc>
        <w:tc>
          <w:tcPr>
            <w:tcW w:type="dxa" w:w="3408"/>
            <w:vAlign w:val="center"/>
          </w:tcPr>
          <w:p>
            <w:pPr>
              <w:pStyle w:val="Meta"/>
              <w:spacing w:after="0"/>
            </w:pPr>
            <w:r>
              <w:t>Rôles des acteurs</w:t>
            </w:r>
          </w:p>
        </w:tc>
        <w:tc>
          <w:tcPr>
            <w:tcW w:type="dxa" w:w="3408"/>
            <w:vAlign w:val="center"/>
          </w:tcPr>
          <w:p>
            <w:pPr>
              <w:pStyle w:val="Meta"/>
              <w:spacing w:after="0"/>
            </w:pPr>
            <w:r>
              <w:t>1 minute</w:t>
            </w:r>
          </w:p>
        </w:tc>
      </w:tr>
      <w:tr>
        <w:tc>
          <w:tcPr>
            <w:tcW w:type="dxa" w:w="3408"/>
            <w:vAlign w:val="center"/>
          </w:tcPr>
          <w:p>
            <w:pPr>
              <w:pStyle w:val="Meta"/>
              <w:spacing w:after="0"/>
            </w:pPr>
            <w:r>
              <w:t>10</w:t>
            </w:r>
          </w:p>
        </w:tc>
        <w:tc>
          <w:tcPr>
            <w:tcW w:type="dxa" w:w="3408"/>
            <w:vAlign w:val="center"/>
          </w:tcPr>
          <w:p>
            <w:pPr>
              <w:pStyle w:val="Meta"/>
              <w:spacing w:after="0"/>
            </w:pPr>
            <w:r>
              <w:t>Calendrier 25 H/J</w:t>
            </w:r>
          </w:p>
        </w:tc>
        <w:tc>
          <w:tcPr>
            <w:tcW w:type="dxa" w:w="3408"/>
            <w:vAlign w:val="center"/>
          </w:tcPr>
          <w:p>
            <w:pPr>
              <w:pStyle w:val="Meta"/>
              <w:spacing w:after="0"/>
            </w:pPr>
            <w:r>
              <w:t>1 minute</w:t>
            </w:r>
          </w:p>
        </w:tc>
      </w:tr>
      <w:tr>
        <w:tc>
          <w:tcPr>
            <w:tcW w:type="dxa" w:w="3408"/>
            <w:vAlign w:val="center"/>
          </w:tcPr>
          <w:p>
            <w:pPr>
              <w:pStyle w:val="Meta"/>
              <w:spacing w:after="0"/>
            </w:pPr>
            <w:r>
              <w:t>11</w:t>
            </w:r>
          </w:p>
        </w:tc>
        <w:tc>
          <w:tcPr>
            <w:tcW w:type="dxa" w:w="3408"/>
            <w:vAlign w:val="center"/>
          </w:tcPr>
          <w:p>
            <w:pPr>
              <w:pStyle w:val="Meta"/>
              <w:spacing w:after="0"/>
            </w:pPr>
            <w:r>
              <w:t>Livrables + résultats attendus</w:t>
            </w:r>
          </w:p>
        </w:tc>
        <w:tc>
          <w:tcPr>
            <w:tcW w:type="dxa" w:w="3408"/>
            <w:vAlign w:val="center"/>
          </w:tcPr>
          <w:p>
            <w:pPr>
              <w:pStyle w:val="Meta"/>
              <w:spacing w:after="0"/>
            </w:pPr>
            <w:r>
              <w:t>1 minute</w:t>
            </w:r>
          </w:p>
        </w:tc>
      </w:tr>
      <w:tr>
        <w:tc>
          <w:tcPr>
            <w:tcW w:type="dxa" w:w="3408"/>
            <w:vAlign w:val="center"/>
          </w:tcPr>
          <w:p>
            <w:pPr>
              <w:pStyle w:val="Meta"/>
              <w:spacing w:after="0"/>
            </w:pPr>
            <w:r>
              <w:t>12</w:t>
            </w:r>
          </w:p>
        </w:tc>
        <w:tc>
          <w:tcPr>
            <w:tcW w:type="dxa" w:w="3408"/>
            <w:vAlign w:val="center"/>
          </w:tcPr>
          <w:p>
            <w:pPr>
              <w:pStyle w:val="Meta"/>
              <w:spacing w:after="0"/>
            </w:pPr>
            <w:r>
              <w:t>Facteurs de succès + prochaines étapes</w:t>
            </w:r>
          </w:p>
        </w:tc>
        <w:tc>
          <w:tcPr>
            <w:tcW w:type="dxa" w:w="3408"/>
            <w:vAlign w:val="center"/>
          </w:tcPr>
          <w:p>
            <w:pPr>
              <w:pStyle w:val="Meta"/>
              <w:spacing w:after="0"/>
            </w:pPr>
            <w:r>
              <w:t>1 minute</w:t>
            </w:r>
          </w:p>
        </w:tc>
      </w:tr>
    </w:tbl>
    <w:p>
      <w:pPr>
        <w:pStyle w:val="Heading1"/>
      </w:pPr>
      <w:r>
        <w:t>Slide 1 — Mot d’ouverture / Titre</w:t>
      </w:r>
    </w:p>
    <w:p>
      <w:pPr>
        <w:pStyle w:val="Cue"/>
      </w:pPr>
      <w:r>
        <w:t>Durée indicative : 45 secondes</w:t>
      </w:r>
    </w:p>
    <w:p>
      <w:pPr>
        <w:pStyle w:val="Oral"/>
      </w:pPr>
      <w:r>
        <w:t>Mesdames et Messieurs, bonjour. Je vous remercie pour votre présence à cette réunion de cadrage consacrée aux activités R1.3.5 et R1.4.3. Je suis Roland DJAGBA, expert en développement de bases de données et systèmes d’information.</w:t>
      </w:r>
    </w:p>
    <w:p>
      <w:pPr>
        <w:pStyle w:val="Oral"/>
      </w:pPr>
      <w:r>
        <w:t>L’objectif de cette rencontre est simple : nous accorder sur la compréhension de la mission, clarifier les attentes, confirmer la méthodologie de travail et organiser les prochaines étapes avec la HAUQE et GFA.</w:t>
      </w:r>
    </w:p>
    <w:p>
      <w:pPr>
        <w:pStyle w:val="Oral"/>
      </w:pPr>
      <w:r>
        <w:t>Cette réunion est donc un moment important, car elle doit permettre de sécuriser le démarrage de la mission et de nous assurer que le système à développer répondra réellement aux besoins de la HAUQE.</w:t>
      </w:r>
    </w:p>
    <w:p>
      <w:pPr>
        <w:pStyle w:val="Heading1"/>
      </w:pPr>
      <w:r>
        <w:t>Slide 2 — Objectifs de la réunion</w:t>
      </w:r>
    </w:p>
    <w:p>
      <w:pPr>
        <w:pStyle w:val="Cue"/>
      </w:pPr>
      <w:r>
        <w:t>Durée indicative : 50 secondes</w:t>
      </w:r>
    </w:p>
    <w:p>
      <w:pPr>
        <w:pStyle w:val="Oral"/>
      </w:pPr>
      <w:r>
        <w:t>À l’issue de cette réunion, nous devons disposer d’une compréhension commune sur six points.</w:t>
      </w:r>
    </w:p>
    <w:p>
      <w:pPr>
        <w:pStyle w:val="Oral"/>
      </w:pPr>
      <w:r>
        <w:t>Premièrement, le contenu exact de la mission et les objectifs des deux activités. Deuxièmement, la méthodologie qui sera utilisée pour développer la base, préparer les outils de collecte et structurer les mécanismes de contrôle. Troisièmement, les responsabilités de chaque acteur : l’expert, la HAUQE et GFA.</w:t>
      </w:r>
    </w:p>
    <w:p>
      <w:pPr>
        <w:pStyle w:val="Oral"/>
      </w:pPr>
      <w:r>
        <w:t>Nous devons également confirmer les livrables attendus, le calendrier de mise en œuvre et les modalités de collaboration. L’idée n’est donc pas seulement de présenter un projet technique, mais de valider ensemble les conditions pratiques de son exécution.</w:t>
      </w:r>
    </w:p>
    <w:p>
      <w:pPr>
        <w:pStyle w:val="Heading1"/>
      </w:pPr>
      <w:r>
        <w:t>Slide 3 — Contexte / problème à résoudre</w:t>
      </w:r>
    </w:p>
    <w:p>
      <w:pPr>
        <w:pStyle w:val="Cue"/>
      </w:pPr>
      <w:r>
        <w:t>Durée indicative : 1 minute</w:t>
      </w:r>
    </w:p>
    <w:p>
      <w:pPr>
        <w:pStyle w:val="Oral"/>
      </w:pPr>
      <w:r>
        <w:t>Le point de départ de cette mission est un constat assez clair. Les informations relatives aux entreprises certifiées existent, mais elles sont souvent dispersées entre différentes sources. Cette dispersion rend le suivi difficile, notamment lorsqu’il faut savoir quelles entreprises sont certifiées, quels certificats elles détiennent, quels organismes les ont délivrés ou quelles certifications arrivent bientôt à expiration.</w:t>
      </w:r>
    </w:p>
    <w:p>
      <w:pPr>
        <w:pStyle w:val="Oral"/>
      </w:pPr>
      <w:r>
        <w:t>Cette situation limite aussi la capacité de contrôle. Lorsqu’il n’y a pas de base harmonisée, il devient plus difficile de produire rapidement des statistiques fiables, de suivre les renouvellements et d’avoir une vision nationale actualisée.</w:t>
      </w:r>
    </w:p>
    <w:p>
      <w:pPr>
        <w:pStyle w:val="Oral"/>
      </w:pPr>
      <w:r>
        <w:t>La mission vise donc à répondre à ce besoin : passer d’informations dispersées à un système national structuré, fiable et exploitable.</w:t>
      </w:r>
    </w:p>
    <w:p>
      <w:pPr>
        <w:pStyle w:val="Heading1"/>
      </w:pPr>
      <w:r>
        <w:t>Slide 4 — Vision du système cible</w:t>
      </w:r>
    </w:p>
    <w:p>
      <w:pPr>
        <w:pStyle w:val="Cue"/>
      </w:pPr>
      <w:r>
        <w:t>Durée indicative : 1 minute</w:t>
      </w:r>
    </w:p>
    <w:p>
      <w:pPr>
        <w:pStyle w:val="Oral"/>
      </w:pPr>
      <w:r>
        <w:t>La vision proposée est de mettre en place un système simple, évolutif et directement utile pour la HAUQE. Il ne s’agit pas seulement de créer un fichier ou un outil d’archivage. L’objectif est de disposer d’une application web capable de centraliser les informations, de faciliter leur contrôle et de produire des tableaux de bord utiles pour la prise de décision.</w:t>
      </w:r>
    </w:p>
    <w:p>
      <w:pPr>
        <w:pStyle w:val="Oral"/>
      </w:pPr>
      <w:r>
        <w:t>Le système devra permettre de répondre rapidement à des questions clés : combien d’entreprises certifiées sont recensées, quels référentiels sont utilisés, quels organismes certificateurs interviennent, quelles certifications doivent être renouvelées, et quels secteurs sont les plus représentés.</w:t>
      </w:r>
    </w:p>
    <w:p>
      <w:pPr>
        <w:pStyle w:val="Oral"/>
      </w:pPr>
      <w:r>
        <w:t>À terme, l’outil devra donc soutenir trois fonctions essentielles : la gestion des données, le contrôle des certifications et la production d’informations fiables pour le pilotage.</w:t>
      </w:r>
    </w:p>
    <w:p>
      <w:pPr>
        <w:pStyle w:val="Heading1"/>
      </w:pPr>
      <w:r>
        <w:t>Slide 5 — Complémentarité R1.3.5 + R1.4.3</w:t>
      </w:r>
    </w:p>
    <w:p>
      <w:pPr>
        <w:pStyle w:val="Cue"/>
      </w:pPr>
      <w:r>
        <w:t>Durée indicative : 1 minute</w:t>
      </w:r>
    </w:p>
    <w:p>
      <w:pPr>
        <w:pStyle w:val="Oral"/>
      </w:pPr>
      <w:r>
        <w:t>Les deux activités sont étroitement liées. R1.3.5 correspond à la construction du système : la base nationale, les modules, les champs, les recherches, les alertes et les tableaux de bord. R1.4.3 correspond à l’exploitation de ce système pour renforcer le contrôle des certifications.</w:t>
      </w:r>
    </w:p>
    <w:p>
      <w:pPr>
        <w:pStyle w:val="Oral"/>
      </w:pPr>
      <w:r>
        <w:t>Autrement dit, R1.3.5 organise l’information, tandis que R1.4.3 permet de l’utiliser pour vérifier, suivre, classer et décider.</w:t>
      </w:r>
    </w:p>
    <w:p>
      <w:pPr>
        <w:pStyle w:val="Oral"/>
      </w:pPr>
      <w:r>
        <w:t>Il est important de ne pas traiter ces deux activités comme deux travaux séparés. Elles constituent une seule chaîne logique : collecte, structuration, contrôle, suivi et décision. Sans base fiable, le contrôle reste fragile ; sans contrôle régulier, la base perd progressivement sa valeur.</w:t>
      </w:r>
    </w:p>
    <w:p>
      <w:pPr>
        <w:pStyle w:val="Heading1"/>
      </w:pPr>
      <w:r>
        <w:t>Slide 6 — Ce que couvre R1.3.5</w:t>
      </w:r>
    </w:p>
    <w:p>
      <w:pPr>
        <w:pStyle w:val="Cue"/>
      </w:pPr>
      <w:r>
        <w:t>Durée indicative : 1 minute</w:t>
      </w:r>
    </w:p>
    <w:p>
      <w:pPr>
        <w:pStyle w:val="Oral"/>
      </w:pPr>
      <w:r>
        <w:t>Concrètement, R1.3.5 couvre le développement et la mise à jour de la base nationale des entreprises certifiées. La première étape consistera à analyser les besoins : quels champs doivent être collectés, quels utilisateurs auront accès au système, quels droits doivent être prévus, et quelles règles métier doivent être appliquées.</w:t>
      </w:r>
    </w:p>
    <w:p>
      <w:pPr>
        <w:pStyle w:val="Oral"/>
      </w:pPr>
      <w:r>
        <w:t>Ensuite, il faudra concevoir l’architecture de la base de données : les tables, les relations, les modules et les mécanismes de sécurité. Le système devra permettre d’enregistrer les entreprises, les certificats, les organismes certificateurs, les statuts et les dates importantes.</w:t>
      </w:r>
    </w:p>
    <w:p>
      <w:pPr>
        <w:pStyle w:val="Oral"/>
      </w:pPr>
      <w:r>
        <w:t>Enfin, des fonctions de recherche, de filtrage, d’alerte et de tableaux de bord seront intégrées afin que la base ne soit pas seulement un espace de stockage, mais un véritable outil de suivi.</w:t>
      </w:r>
    </w:p>
    <w:p>
      <w:pPr>
        <w:pStyle w:val="Heading1"/>
      </w:pPr>
      <w:r>
        <w:t>Slide 7 — Ce que couvre R1.4.3</w:t>
      </w:r>
    </w:p>
    <w:p>
      <w:pPr>
        <w:pStyle w:val="Cue"/>
      </w:pPr>
      <w:r>
        <w:t>Durée indicative : 1 minute</w:t>
      </w:r>
    </w:p>
    <w:p>
      <w:pPr>
        <w:pStyle w:val="Oral"/>
      </w:pPr>
      <w:r>
        <w:t>R1.4.3 est davantage orientée vers le contrôle. Cette activité vise à donner à la HAUQE des outils harmonisés pour vérifier les certifications recensées dans le système.</w:t>
      </w:r>
    </w:p>
    <w:p>
      <w:pPr>
        <w:pStyle w:val="Oral"/>
      </w:pPr>
      <w:r>
        <w:t>Cela inclut les fiches de collecte, les formulaires numériques, les grilles de contrôle, la codification, la classification, le scoring et les mécanismes de suivi des échéances. L’objectif est que les informations collectées puissent être vérifiées de manière homogène, avec des critères clairs et réutilisables.</w:t>
      </w:r>
    </w:p>
    <w:p>
      <w:pPr>
        <w:pStyle w:val="Oral"/>
      </w:pPr>
      <w:r>
        <w:t>Cette partie est essentielle, car une base de données n’a de valeur que si les informations qu’elle contient sont fiables, traçables et régulièrement mises à jour. R1.4.3 permet donc de renforcer la qualité des données et la capacité de contrôle de la HAUQE.</w:t>
      </w:r>
    </w:p>
    <w:p>
      <w:pPr>
        <w:pStyle w:val="Heading1"/>
      </w:pPr>
      <w:r>
        <w:t>Slide 8 — Méthodologie / grandes étapes</w:t>
      </w:r>
    </w:p>
    <w:p>
      <w:pPr>
        <w:pStyle w:val="Cue"/>
      </w:pPr>
      <w:r>
        <w:t>Durée indicative : 1 minute 10</w:t>
      </w:r>
    </w:p>
    <w:p>
      <w:pPr>
        <w:pStyle w:val="Oral"/>
      </w:pPr>
      <w:r>
        <w:t>La méthodologie repose sur une exécution progressive en six étapes.</w:t>
      </w:r>
    </w:p>
    <w:p>
      <w:pPr>
        <w:pStyle w:val="Oral"/>
      </w:pPr>
      <w:r>
        <w:t>La première étape est le cadrage : elle permettra de valider la méthode, les besoins, les champs à collecter et les règles métier. La deuxième étape sera le développement de la base, avec l’architecture, les modules et l’interface web.</w:t>
      </w:r>
    </w:p>
    <w:p>
      <w:pPr>
        <w:pStyle w:val="Oral"/>
      </w:pPr>
      <w:r>
        <w:t>La troisième étape portera sur les outils de collecte et de contrôle : fiches, formulaires, grilles et mécanismes de vérification. La quatrième étape concernera l’intégration des données, après nettoyage, harmonisation et contrôle qualité.</w:t>
      </w:r>
    </w:p>
    <w:p>
      <w:pPr>
        <w:pStyle w:val="Oral"/>
      </w:pPr>
      <w:r>
        <w:t>Ensuite viendront les tableaux de bord, les alertes et les outils de reporting. Enfin, la dernière étape sera consacrée à la formation, aux guides d’utilisation et au transfert de compétences. Le principe est de valider progressivement les éléments clés pour éviter les reprises tardives.</w:t>
      </w:r>
    </w:p>
    <w:p>
      <w:pPr>
        <w:pStyle w:val="Heading1"/>
      </w:pPr>
      <w:r>
        <w:t>Slide 9 — Rôles des acteurs</w:t>
      </w:r>
    </w:p>
    <w:p>
      <w:pPr>
        <w:pStyle w:val="Cue"/>
      </w:pPr>
      <w:r>
        <w:t>Durée indicative : 1 minute</w:t>
      </w:r>
    </w:p>
    <w:p>
      <w:pPr>
        <w:pStyle w:val="Oral"/>
      </w:pPr>
      <w:r>
        <w:t>La réussite de la mission dépend d’une répartition claire des responsabilités.</w:t>
      </w:r>
    </w:p>
    <w:p>
      <w:pPr>
        <w:pStyle w:val="Oral"/>
      </w:pPr>
      <w:r>
        <w:t>Mon rôle, en tant qu’expert, sera de développer la base nationale, de concevoir les outils de collecte et de contrôle, de structurer les tableaux de bord, les alertes et les mécanismes de suivi, puis de former les équipes.</w:t>
      </w:r>
    </w:p>
    <w:p>
      <w:pPr>
        <w:pStyle w:val="Oral"/>
      </w:pPr>
      <w:r>
        <w:t>Le rôle de la HAUQE sera central : mettre à disposition les données existantes, désigner un point focal technique, valider les champs, les règles métier et les outils proposés, puis assurer progressivement l’appropriation et la mise à jour du système.</w:t>
      </w:r>
    </w:p>
    <w:p>
      <w:pPr>
        <w:pStyle w:val="Oral"/>
      </w:pPr>
      <w:r>
        <w:t>GFA assurera la coordination de l’appui technique, le suivi de la mission, la validation des livrables selon le cadre convenu et la qualité du processus. Cette clarification est importante pour éviter les zones floues pendant l’exécution.</w:t>
      </w:r>
    </w:p>
    <w:p>
      <w:pPr>
        <w:pStyle w:val="Heading1"/>
      </w:pPr>
      <w:r>
        <w:t>Slide 10 — Calendrier 25 H/J</w:t>
      </w:r>
    </w:p>
    <w:p>
      <w:pPr>
        <w:pStyle w:val="Cue"/>
      </w:pPr>
      <w:r>
        <w:t>Durée indicative : 1 minute</w:t>
      </w:r>
    </w:p>
    <w:p>
      <w:pPr>
        <w:pStyle w:val="Oral"/>
      </w:pPr>
      <w:r>
        <w:t>La mission est organisée sur une durée totale de 25 hommes-jours. Elle combine du travail de terrain et du travail à domicile, afin de réserver les temps de présence aux moments où les échanges et les validations sont les plus nécessaires.</w:t>
      </w:r>
    </w:p>
    <w:p>
      <w:pPr>
        <w:pStyle w:val="Oral"/>
      </w:pPr>
      <w:r>
        <w:t>Les grandes phases sont les suivantes : cadrage et méthodologie, développement de la base, outils de collecte et de contrôle, intégration des données, tableaux de bord et suivi, formation, puis consolidation et rapport final.</w:t>
      </w:r>
    </w:p>
    <w:p>
      <w:pPr>
        <w:pStyle w:val="Oral"/>
      </w:pPr>
      <w:r>
        <w:t>Le respect du calendrier dépendra fortement de la rapidité des validations, notamment pour le modèle de données, les outils de collecte, les maquettes et les livrables intermédiaires. C’est pourquoi la disponibilité d’un point focal technique sera déterminante.</w:t>
      </w:r>
    </w:p>
    <w:p>
      <w:pPr>
        <w:pStyle w:val="Heading1"/>
      </w:pPr>
      <w:r>
        <w:t>Slide 11 — Livrables + résultats attendus</w:t>
      </w:r>
    </w:p>
    <w:p>
      <w:pPr>
        <w:pStyle w:val="Cue"/>
      </w:pPr>
      <w:r>
        <w:t>Durée indicative : 1 minute</w:t>
      </w:r>
    </w:p>
    <w:p>
      <w:pPr>
        <w:pStyle w:val="Oral"/>
      </w:pPr>
      <w:r>
        <w:t>Les livrables sont organisés autour de trois jalons principaux.</w:t>
      </w:r>
    </w:p>
    <w:p>
      <w:pPr>
        <w:pStyle w:val="Oral"/>
      </w:pPr>
      <w:r>
        <w:t>Le premier jalon concerne le cadrage technique, l’architecture fonctionnelle, la base nationale opérationnelle et les premiers tableaux de bord. Le deuxième jalon porte sur les fiches et formulaires, les grilles de contrôle, la codification, la classification, le scoring et les mécanismes de suivi. Le troisième jalon concerne les guides, les supports de formation, le transfert de compétences et le rapport final consolidé.</w:t>
      </w:r>
    </w:p>
    <w:p>
      <w:pPr>
        <w:pStyle w:val="Oral"/>
      </w:pPr>
      <w:r>
        <w:t>Mais au-delà des documents et des outils, les résultats attendus sont surtout les suivants : une base nationale fonctionnelle, un système harmonisé de contrôle des certifications et une capacité renforcée de la HAUQE à gérer et mettre à jour le système de manière autonome.</w:t>
      </w:r>
    </w:p>
    <w:p>
      <w:pPr>
        <w:pStyle w:val="Heading1"/>
      </w:pPr>
      <w:r>
        <w:t>Slide 12 — Facteurs de succès + prochaines étapes</w:t>
      </w:r>
    </w:p>
    <w:p>
      <w:pPr>
        <w:pStyle w:val="Cue"/>
      </w:pPr>
      <w:r>
        <w:t>Durée indicative : 1 minute</w:t>
      </w:r>
    </w:p>
    <w:p>
      <w:pPr>
        <w:pStyle w:val="Oral"/>
      </w:pPr>
      <w:r>
        <w:t>Pour conclure, plusieurs conditions seront importantes pour réussir la mission. Il faudra d’abord identifier rapidement un point focal technique au niveau de la HAUQE. Il faudra aussi disposer des données existantes, valider le modèle de données avant la collecte, et organiser des retours rapides sur les maquettes et les livrables.</w:t>
      </w:r>
    </w:p>
    <w:p>
      <w:pPr>
        <w:pStyle w:val="Oral"/>
      </w:pPr>
      <w:r>
        <w:t>Les prochaines étapes immédiates seront donc la validation de la méthodologie, la confirmation des champs et règles métier, la validation des outils de collecte et le lancement du développement.</w:t>
      </w:r>
    </w:p>
    <w:p>
      <w:pPr>
        <w:pStyle w:val="Oral"/>
      </w:pPr>
      <w:r>
        <w:t>Je reste ouvert à vos observations et suggestions. L’objectif est que cette mission soit co-construite, pratique et utile, afin que le système réponde aux besoins réels de la HAUQE et puisse être utilisé durablement. Je vous remercie pour votre attention et je suis disponible pour les échanges.</w:t>
      </w:r>
    </w:p>
    <w:p>
      <w:pPr>
        <w:spacing w:after="140"/>
        <w:pBdr>
          <w:bottom w:val="single" w:sz="8" w:space="1" w:color="00B7A8"/>
        </w:pBdr>
      </w:pPr>
    </w:p>
    <w:p>
      <w:pPr>
        <w:pStyle w:val="Heading1"/>
      </w:pPr>
      <w:r>
        <w:t>Remarque finale</w:t>
      </w:r>
    </w:p>
    <w:p>
      <w:pPr>
        <w:pStyle w:val="Oral"/>
      </w:pPr>
      <w:r>
        <w:t>Le texte peut être légèrement raccourci à l’oral en fonction du temps disponible. Les passages les plus importants à préserver sont : le problème à résoudre, la complémentarité R1.3.5/R1.4.3, la clarification des rôles, le calendrier et les conditions de réussite.</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center"/>
    </w:pPr>
    <w:r>
      <w:t>Roland DJAGBA | Expert en Bases de Données &amp; Systèmes d’Information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center"/>
    </w:pPr>
    <w:r>
      <w:t>Présentation orale — Réunion de cadrage R1.3.5 &amp; R1.4.3 — HAUQE / GFA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color w:val="1024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0B2848"/>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eastAsia="Aptos Display"/>
      <w:b/>
      <w:bCs/>
      <w:color w:val="00B7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eastAsia="Aptos Display"/>
      <w:b/>
      <w:color w:val="0B284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eastAsia="Aptos"/>
      <w:color w:val="596A7E"/>
      <w:sz w:val="18"/>
    </w:rPr>
  </w:style>
  <w:style w:type="paragraph" w:customStyle="1" w:styleId="Oral">
    <w:name w:val="Oral"/>
    <w:pPr>
      <w:spacing w:after="100" w:line="254" w:lineRule="auto"/>
    </w:pPr>
    <w:rPr>
      <w:rFonts w:ascii="Aptos" w:hAnsi="Aptos" w:eastAsia="Aptos"/>
      <w:color w:val="10243D"/>
      <w:sz w:val="21"/>
    </w:rPr>
  </w:style>
  <w:style w:type="paragraph" w:customStyle="1" w:styleId="Cue">
    <w:name w:val="Cue"/>
    <w:pPr>
      <w:spacing w:after="80"/>
    </w:pPr>
    <w:rPr>
      <w:rFonts w:ascii="Aptos" w:hAnsi="Aptos" w:eastAsia="Aptos"/>
      <w:i/>
      <w:color w:val="596A7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