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80" w:before="0" w:line="360" w:lineRule="auto"/>
        <w:jc w:val="center"/>
      </w:pPr>
      <w:r>
        <w:rPr>
          <w:rFonts w:ascii="Garamond" w:hAnsi="Garamond" w:eastAsia="Garamond" w:cs="Garamond"/>
          <w:b/>
          <w:i w:val="0"/>
          <w:sz w:val="24"/>
          <w:lang w:val="en-GB"/>
        </w:rPr>
        <w:t>CONTRACT FOR LEGAL SERVICES</w:t>
      </w:r>
    </w:p>
    <w:p>
      <w:pPr>
        <w:keepNext/>
        <w:spacing w:after="360" w:before="0" w:line="360" w:lineRule="auto"/>
        <w:jc w:val="center"/>
      </w:pPr>
      <w:r>
        <w:rPr>
          <w:rFonts w:ascii="Garamond" w:hAnsi="Garamond" w:eastAsia="Garamond" w:cs="Garamond"/>
          <w:b/>
          <w:i w:val="0"/>
          <w:sz w:val="24"/>
          <w:lang w:val="en-GB"/>
        </w:rPr>
        <w:t>(Opening of a Portuguese Bank Account)</w:t>
      </w:r>
    </w:p>
    <w:p>
      <w:pPr>
        <w:spacing w:after="240" w:before="0" w:line="360" w:lineRule="auto"/>
        <w:jc w:val="both"/>
      </w:pPr>
      <w:r>
        <w:rPr>
          <w:rFonts w:ascii="Garamond" w:hAnsi="Garamond" w:eastAsia="Garamond" w:cs="Garamond"/>
          <w:b w:val="0"/>
          <w:i w:val="0"/>
          <w:sz w:val="24"/>
          <w:lang w:val="en-GB"/>
        </w:rPr>
        <w:t>Between:</w:t>
      </w:r>
    </w:p>
    <w:p>
      <w:pPr>
        <w:spacing w:after="240" w:before="0" w:line="360" w:lineRule="auto"/>
        <w:jc w:val="both"/>
      </w:pPr>
      <w:r>
        <w:rPr>
          <w:rFonts w:ascii="Garamond" w:hAnsi="Garamond" w:eastAsia="Garamond" w:cs="Garamond"/>
          <w:b/>
          <w:i w:val="0"/>
          <w:sz w:val="24"/>
          <w:lang w:val="en-GB"/>
        </w:rPr>
        <w:t>[FULL NAME]</w:t>
      </w:r>
      <w:r>
        <w:rPr>
          <w:rFonts w:ascii="Garamond" w:hAnsi="Garamond" w:eastAsia="Garamond" w:cs="Garamond"/>
          <w:b w:val="0"/>
          <w:i w:val="0"/>
          <w:sz w:val="24"/>
          <w:lang w:val="en-GB"/>
        </w:rPr>
        <w:t>, born in [PLACE OF BIRTH], on [DATE OF BIRTH], of legal age, holder of passport no. [PASSPORT NO.], issued by [PASSPORT ISSUING AUTHORITY] on [DATE OF ISSUE], valid until [EXPIRY DATE], tax resident at [TAX RESIDENCE ADDRESS], with email address [EMAIL], hereinafter referred to as the First Party or Client;</w:t>
      </w:r>
    </w:p>
    <w:p>
      <w:pPr>
        <w:spacing w:after="240" w:before="0" w:line="360" w:lineRule="auto"/>
        <w:jc w:val="both"/>
      </w:pPr>
      <w:r>
        <w:rPr>
          <w:rFonts w:ascii="Garamond" w:hAnsi="Garamond" w:eastAsia="Garamond" w:cs="Garamond"/>
          <w:b w:val="0"/>
          <w:i w:val="0"/>
          <w:sz w:val="24"/>
          <w:lang w:val="en-GB"/>
        </w:rPr>
        <w:t>and</w:t>
      </w:r>
    </w:p>
    <w:p>
      <w:pPr>
        <w:spacing w:after="240" w:before="0" w:line="360" w:lineRule="auto"/>
        <w:jc w:val="both"/>
      </w:pPr>
      <w:r>
        <w:rPr>
          <w:rFonts w:ascii="Garamond" w:hAnsi="Garamond" w:eastAsia="Garamond" w:cs="Garamond"/>
          <w:b/>
          <w:i w:val="0"/>
          <w:sz w:val="24"/>
          <w:lang w:val="en-GB"/>
        </w:rPr>
        <w:t>ALTTAVIA RELOCATION, Unipessoal Lda.</w:t>
      </w:r>
      <w:r>
        <w:rPr>
          <w:rFonts w:ascii="Garamond" w:hAnsi="Garamond" w:eastAsia="Garamond" w:cs="Garamond"/>
          <w:b w:val="0"/>
          <w:i w:val="0"/>
          <w:sz w:val="24"/>
          <w:lang w:val="en-GB"/>
        </w:rPr>
        <w:t>, a Portuguese company (NIPC 518856984), with registered office at Av. António Augusto Aguiar, 24, 1st floor right, Office 3, 1050-016 Lisbon, Portugal, duly represented by Patrícia Soares Viana, Attorney-at-Law, registered with the Portuguese Bar Association under no. 65755L, taxpayer no. 295970677, hereinafter referred to as the Second Party.</w:t>
      </w:r>
    </w:p>
    <w:p>
      <w:pPr>
        <w:spacing w:after="240" w:before="0" w:line="360" w:lineRule="auto"/>
        <w:jc w:val="both"/>
      </w:pPr>
      <w:r>
        <w:rPr>
          <w:rFonts w:ascii="Garamond" w:hAnsi="Garamond" w:eastAsia="Garamond" w:cs="Garamond"/>
          <w:b w:val="0"/>
          <w:i w:val="0"/>
          <w:sz w:val="24"/>
          <w:lang w:val="en-GB"/>
        </w:rPr>
        <w:t>This contract is entered into freely and in good faith and shall be governed by the following clauses:</w:t>
      </w:r>
    </w:p>
    <w:p>
      <w:pPr>
        <w:keepNext/>
        <w:spacing w:after="0" w:before="200" w:line="360" w:lineRule="auto"/>
        <w:jc w:val="center"/>
      </w:pPr>
      <w:r>
        <w:rPr>
          <w:rFonts w:ascii="Garamond" w:hAnsi="Garamond" w:eastAsia="Garamond" w:cs="Garamond"/>
          <w:b/>
          <w:i w:val="0"/>
          <w:sz w:val="24"/>
          <w:lang w:val="en-GB"/>
        </w:rPr>
        <w:t>FIRST CLAUSE</w:t>
      </w:r>
    </w:p>
    <w:p>
      <w:pPr>
        <w:keepNext/>
        <w:spacing w:after="200" w:before="0" w:line="360" w:lineRule="auto"/>
        <w:jc w:val="center"/>
      </w:pPr>
      <w:r>
        <w:rPr>
          <w:rFonts w:ascii="Garamond" w:hAnsi="Garamond" w:eastAsia="Garamond" w:cs="Garamond"/>
          <w:b/>
          <w:i w:val="0"/>
          <w:sz w:val="24"/>
          <w:lang w:val="en-GB"/>
        </w:rPr>
        <w:t>Nature of the Services — Obligation of Means</w:t>
      </w:r>
    </w:p>
    <w:p>
      <w:pPr>
        <w:spacing w:after="240" w:before="0" w:line="360" w:lineRule="auto"/>
        <w:jc w:val="both"/>
      </w:pPr>
      <w:r>
        <w:rPr>
          <w:rFonts w:ascii="Garamond" w:hAnsi="Garamond" w:eastAsia="Garamond" w:cs="Garamond"/>
          <w:b w:val="0"/>
          <w:i w:val="0"/>
          <w:sz w:val="24"/>
          <w:lang w:val="en-GB"/>
        </w:rPr>
        <w:t>1. The Second Party undertakes to provide the Client, who accepts, with legal, documentary, strategic and administrative coordination services, within the limits and conditions set out in this contract, in full respect of the ethical and deontological principles governing the legal profession in Portugal.</w:t>
      </w:r>
    </w:p>
    <w:p>
      <w:pPr>
        <w:spacing w:after="240" w:before="0" w:line="360" w:lineRule="auto"/>
        <w:jc w:val="both"/>
      </w:pPr>
      <w:r>
        <w:rPr>
          <w:rFonts w:ascii="Garamond" w:hAnsi="Garamond" w:eastAsia="Garamond" w:cs="Garamond"/>
          <w:b w:val="0"/>
          <w:i w:val="0"/>
          <w:sz w:val="24"/>
          <w:lang w:val="en-GB"/>
        </w:rPr>
        <w:t>2. The legal services shall be rendered by Attorney Patrícia Soares Viana through the Second Party, on an independent, non-subordinate basis.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acknowledges and accepts that the services under this contract constitute an obligation of means and not an obligation of result.</w:t>
      </w:r>
      <w:r>
        <w:rPr>
          <w:rFonts w:ascii="Garamond" w:hAnsi="Garamond" w:eastAsia="Garamond" w:cs="Garamond"/>
          <w:b w:val="0"/>
          <w:i w:val="0"/>
          <w:sz w:val="24"/>
          <w:lang w:val="en-GB"/>
        </w:rPr>
        <w:t xml:space="preserve"> The Second Party undertakes to employ the diligence, technical competence and reasonable efforts required of a professional in the exercise of this activity, but does not undertake, and could not undertake, to achieve any particular outcome, which depends on decisions of third parties beyond its will and control.</w:t>
      </w:r>
    </w:p>
    <w:p>
      <w:pPr>
        <w:spacing w:after="240" w:before="0" w:line="360" w:lineRule="auto"/>
        <w:jc w:val="both"/>
      </w:pPr>
      <w:r>
        <w:rPr>
          <w:rFonts w:ascii="Garamond" w:hAnsi="Garamond" w:eastAsia="Garamond" w:cs="Garamond"/>
          <w:b w:val="0"/>
          <w:i w:val="0"/>
          <w:sz w:val="24"/>
          <w:lang w:val="en-GB"/>
        </w:rPr>
        <w:t xml:space="preserve">4. In particular, and without prejudice to the illustrative nature of this list, the Second Party </w:t>
      </w:r>
      <w:r>
        <w:rPr>
          <w:rFonts w:ascii="Garamond" w:hAnsi="Garamond" w:eastAsia="Garamond" w:cs="Garamond"/>
          <w:b/>
          <w:i w:val="0"/>
          <w:sz w:val="24"/>
          <w:lang w:val="en-GB"/>
        </w:rPr>
        <w:t>does not guarantee and cannot guarantee</w:t>
      </w:r>
      <w:r>
        <w:rPr>
          <w:rFonts w:ascii="Garamond" w:hAnsi="Garamond" w:eastAsia="Garamond" w:cs="Garamond"/>
          <w:b w:val="0"/>
          <w:i w:val="0"/>
          <w:sz w:val="24"/>
          <w:lang w:val="en-GB"/>
        </w:rPr>
        <w:t xml:space="preserve"> the opening of the bank account, the approval of the Client by the compliance department of any banking institution, the timeframe of the compliance review, the acceptance of the documents submitted, the issuance or delivery of cards, access codes or credentials, the maintenance or continuity of any banking relationship once opened, the absence of requests for additional documents, or any decision dependent on a banking institution, on the Bank of Portugal or on any other entity.</w:t>
      </w:r>
    </w:p>
    <w:p>
      <w:pPr>
        <w:spacing w:after="240" w:before="0" w:line="360" w:lineRule="auto"/>
        <w:jc w:val="both"/>
      </w:pPr>
      <w:r>
        <w:rPr>
          <w:rFonts w:ascii="Garamond" w:hAnsi="Garamond" w:eastAsia="Garamond" w:cs="Garamond"/>
          <w:b w:val="0"/>
          <w:i w:val="0"/>
          <w:sz w:val="24"/>
          <w:lang w:val="en-GB"/>
        </w:rPr>
        <w:t>5. Any refusal, delay, request for additional documents, administrative silence, unavailability of systems or appointments, change of requirements or unfavourable decision shall not, by itself, constitute breach of contract by the Second Party and shall not entitle the Client to a refund of any fee already paid.</w:t>
      </w:r>
    </w:p>
    <w:p>
      <w:pPr>
        <w:spacing w:after="240" w:before="0" w:line="360" w:lineRule="auto"/>
        <w:jc w:val="both"/>
      </w:pPr>
      <w:r>
        <w:rPr>
          <w:rFonts w:ascii="Garamond" w:hAnsi="Garamond" w:eastAsia="Garamond" w:cs="Garamond"/>
          <w:b w:val="0"/>
          <w:i w:val="0"/>
          <w:sz w:val="24"/>
          <w:lang w:val="en-GB"/>
        </w:rPr>
        <w:t xml:space="preserve">6. The Client further acknowledges that the fees remunerate the professional work actually performed, including analysis, strategy, preparation, document review, coordination, communications, submissions and follow-up, and </w:t>
      </w:r>
      <w:r>
        <w:rPr>
          <w:rFonts w:ascii="Garamond" w:hAnsi="Garamond" w:eastAsia="Garamond" w:cs="Garamond"/>
          <w:b/>
          <w:i w:val="0"/>
          <w:sz w:val="24"/>
          <w:lang w:val="en-GB"/>
        </w:rPr>
        <w:t>are in no event conditional upon the success, approval or outcome of the process</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SECOND CLAUSE</w:t>
      </w:r>
    </w:p>
    <w:p>
      <w:pPr>
        <w:keepNext/>
        <w:spacing w:after="200" w:before="0" w:line="360" w:lineRule="auto"/>
        <w:jc w:val="center"/>
      </w:pPr>
      <w:r>
        <w:rPr>
          <w:rFonts w:ascii="Garamond" w:hAnsi="Garamond" w:eastAsia="Garamond" w:cs="Garamond"/>
          <w:b/>
          <w:i w:val="0"/>
          <w:sz w:val="24"/>
          <w:lang w:val="en-GB"/>
        </w:rPr>
        <w:t>Object and Scope of Services</w:t>
      </w:r>
    </w:p>
    <w:p>
      <w:pPr>
        <w:spacing w:after="240" w:before="0" w:line="360" w:lineRule="auto"/>
        <w:jc w:val="both"/>
      </w:pPr>
      <w:r>
        <w:rPr>
          <w:rFonts w:ascii="Garamond" w:hAnsi="Garamond" w:eastAsia="Garamond" w:cs="Garamond"/>
          <w:b w:val="0"/>
          <w:i w:val="0"/>
          <w:sz w:val="24"/>
          <w:lang w:val="en-GB"/>
        </w:rPr>
        <w:t xml:space="preserve">1. This contract has as its object the provision, by the Second Party to the Client, of legal, documentary and administrative coordination services for the purpose of </w:t>
      </w:r>
      <w:r>
        <w:rPr>
          <w:rFonts w:ascii="Garamond" w:hAnsi="Garamond" w:eastAsia="Garamond" w:cs="Garamond"/>
          <w:b/>
          <w:i w:val="0"/>
          <w:sz w:val="24"/>
          <w:lang w:val="en-GB"/>
        </w:rPr>
        <w:t>preparing, submitting and following up a request for the opening of a bank account with a banking institution in Portugal</w:t>
      </w:r>
      <w:r>
        <w:rPr>
          <w:rFonts w:ascii="Garamond" w:hAnsi="Garamond" w:eastAsia="Garamond" w:cs="Garamond"/>
          <w:b w:val="0"/>
          <w:i w:val="0"/>
          <w:sz w:val="24"/>
          <w:lang w:val="en-GB"/>
        </w:rPr>
        <w:t>, acting under a power of attorney granted by the Client for that purpose.</w:t>
      </w:r>
    </w:p>
    <w:p>
      <w:pPr>
        <w:spacing w:after="240" w:before="0" w:line="360" w:lineRule="auto"/>
        <w:jc w:val="both"/>
      </w:pPr>
      <w:r>
        <w:rPr>
          <w:rFonts w:ascii="Garamond" w:hAnsi="Garamond" w:eastAsia="Garamond" w:cs="Garamond"/>
          <w:b w:val="0"/>
          <w:i w:val="0"/>
          <w:sz w:val="24"/>
          <w:lang w:val="en-GB"/>
        </w:rPr>
        <w:t>2. Unless otherwise stated in writing, the contracted services include:</w:t>
      </w:r>
    </w:p>
    <w:p>
      <w:pPr>
        <w:spacing w:after="160" w:before="0" w:line="360" w:lineRule="auto"/>
        <w:ind w:left="504" w:hanging="504"/>
        <w:jc w:val="both"/>
      </w:pPr>
      <w:r>
        <w:rPr>
          <w:rFonts w:ascii="Garamond" w:hAnsi="Garamond" w:eastAsia="Garamond" w:cs="Garamond"/>
          <w:b w:val="0"/>
          <w:i w:val="0"/>
          <w:sz w:val="24"/>
          <w:lang w:val="en-GB"/>
        </w:rPr>
        <w:t>a) Legal assessment of the Client’s situation and confirmation of the documents required by Portuguese banking institutions for the opening of an account by a non-resident;</w:t>
      </w:r>
    </w:p>
    <w:p>
      <w:pPr>
        <w:spacing w:after="160" w:before="0" w:line="360" w:lineRule="auto"/>
        <w:ind w:left="504" w:hanging="504"/>
        <w:jc w:val="both"/>
      </w:pPr>
      <w:r>
        <w:rPr>
          <w:rFonts w:ascii="Garamond" w:hAnsi="Garamond" w:eastAsia="Garamond" w:cs="Garamond"/>
          <w:b w:val="0"/>
          <w:i w:val="0"/>
          <w:sz w:val="24"/>
          <w:lang w:val="en-GB"/>
        </w:rPr>
        <w:t>b) Preparation of the power of attorney and of the supporting documentation required by the banking institution;</w:t>
      </w:r>
    </w:p>
    <w:p>
      <w:pPr>
        <w:spacing w:after="160" w:before="0" w:line="360" w:lineRule="auto"/>
        <w:ind w:left="504" w:hanging="504"/>
        <w:jc w:val="both"/>
      </w:pPr>
      <w:r>
        <w:rPr>
          <w:rFonts w:ascii="Garamond" w:hAnsi="Garamond" w:eastAsia="Garamond" w:cs="Garamond"/>
          <w:b w:val="0"/>
          <w:i w:val="0"/>
          <w:sz w:val="24"/>
          <w:lang w:val="en-GB"/>
        </w:rPr>
        <w:t>c) Review of the Client’s identification, tax and proof-of-income documents, and guidance on any corrections, translations, apostilles or certifications required by the bank;</w:t>
      </w:r>
    </w:p>
    <w:p>
      <w:pPr>
        <w:spacing w:after="160" w:before="0" w:line="360" w:lineRule="auto"/>
        <w:ind w:left="504" w:hanging="504"/>
        <w:jc w:val="both"/>
      </w:pPr>
      <w:r>
        <w:rPr>
          <w:rFonts w:ascii="Garamond" w:hAnsi="Garamond" w:eastAsia="Garamond" w:cs="Garamond"/>
          <w:b w:val="0"/>
          <w:i w:val="0"/>
          <w:sz w:val="24"/>
          <w:lang w:val="en-GB"/>
        </w:rPr>
        <w:t>d) Selection and approach of one or more banking institutions in Portugal, according to the strategy defined by the Second Party and the Client’s profile;</w:t>
      </w:r>
    </w:p>
    <w:p>
      <w:pPr>
        <w:spacing w:after="160" w:before="0" w:line="360" w:lineRule="auto"/>
        <w:ind w:left="504" w:hanging="504"/>
        <w:jc w:val="both"/>
      </w:pPr>
      <w:r>
        <w:rPr>
          <w:rFonts w:ascii="Garamond" w:hAnsi="Garamond" w:eastAsia="Garamond" w:cs="Garamond"/>
          <w:b w:val="0"/>
          <w:i w:val="0"/>
          <w:sz w:val="24"/>
          <w:lang w:val="en-GB"/>
        </w:rPr>
        <w:t>e) Submission of the account opening request and of the compliance file to the banking institution,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f) Completion and signature of the account opening forms, including FIN forms and any other documents required for the instruction of the process, within the powers granted;</w:t>
      </w:r>
    </w:p>
    <w:p>
      <w:pPr>
        <w:spacing w:after="160" w:before="0" w:line="360" w:lineRule="auto"/>
        <w:ind w:left="504" w:hanging="504"/>
        <w:jc w:val="both"/>
      </w:pPr>
      <w:r>
        <w:rPr>
          <w:rFonts w:ascii="Garamond" w:hAnsi="Garamond" w:eastAsia="Garamond" w:cs="Garamond"/>
          <w:b w:val="0"/>
          <w:i w:val="0"/>
          <w:sz w:val="24"/>
          <w:lang w:val="en-GB"/>
        </w:rPr>
        <w:t>g) Follow-up of the compliance review, and response to requests for additional information or documents made by the banking institution, where such requests fall within the original scope;</w:t>
      </w:r>
    </w:p>
    <w:p>
      <w:pPr>
        <w:spacing w:after="160" w:before="0" w:line="360" w:lineRule="auto"/>
        <w:ind w:left="504" w:hanging="504"/>
        <w:jc w:val="both"/>
      </w:pPr>
      <w:r>
        <w:rPr>
          <w:rFonts w:ascii="Garamond" w:hAnsi="Garamond" w:eastAsia="Garamond" w:cs="Garamond"/>
          <w:b w:val="0"/>
          <w:i w:val="0"/>
          <w:sz w:val="24"/>
          <w:lang w:val="en-GB"/>
        </w:rPr>
        <w:t>h) Collection and transmission to the Client of the account details, matrix card, access codes and security credentials issued by the bank, where the bank makes them available to the attorney;</w:t>
      </w:r>
    </w:p>
    <w:p>
      <w:pPr>
        <w:spacing w:after="160" w:before="0" w:line="360" w:lineRule="auto"/>
        <w:ind w:left="504" w:hanging="504"/>
        <w:jc w:val="both"/>
      </w:pPr>
      <w:r>
        <w:rPr>
          <w:rFonts w:ascii="Garamond" w:hAnsi="Garamond" w:eastAsia="Garamond" w:cs="Garamond"/>
          <w:b w:val="0"/>
          <w:i w:val="0"/>
          <w:sz w:val="24"/>
          <w:lang w:val="en-GB"/>
        </w:rPr>
        <w:t>i) Request of the bank declaration or statement required for immigration or consular purposes, where applicable;</w:t>
      </w:r>
    </w:p>
    <w:p>
      <w:pPr>
        <w:spacing w:after="160" w:before="0" w:line="360" w:lineRule="auto"/>
        <w:ind w:left="504" w:hanging="504"/>
        <w:jc w:val="both"/>
      </w:pPr>
      <w:r>
        <w:rPr>
          <w:rFonts w:ascii="Garamond" w:hAnsi="Garamond" w:eastAsia="Garamond" w:cs="Garamond"/>
          <w:b w:val="0"/>
          <w:i w:val="0"/>
          <w:sz w:val="24"/>
          <w:lang w:val="en-GB"/>
        </w:rPr>
        <w:t>j) Reasonable clarification of questions falling within the contractual scope.</w:t>
      </w:r>
    </w:p>
    <w:p>
      <w:pPr>
        <w:spacing w:after="240" w:before="0" w:line="360" w:lineRule="auto"/>
        <w:jc w:val="both"/>
      </w:pPr>
      <w:r>
        <w:rPr>
          <w:rFonts w:ascii="Garamond" w:hAnsi="Garamond" w:eastAsia="Garamond" w:cs="Garamond"/>
          <w:b w:val="0"/>
          <w:i w:val="0"/>
          <w:sz w:val="24"/>
          <w:lang w:val="en-GB"/>
        </w:rPr>
        <w:t>3. The Second Party shall not be bound by deadlines that fall under the responsibility of the Public Administration, the Tax and Customs Authority, banking institutions, courier services or any other third-party entity, and there is no guarantee of processing times or of a final favourable decision where such matters depend on third parties.</w:t>
      </w:r>
    </w:p>
    <w:p>
      <w:pPr>
        <w:keepNext/>
        <w:spacing w:after="0" w:before="200" w:line="360" w:lineRule="auto"/>
        <w:jc w:val="center"/>
      </w:pPr>
      <w:r>
        <w:rPr>
          <w:rFonts w:ascii="Garamond" w:hAnsi="Garamond" w:eastAsia="Garamond" w:cs="Garamond"/>
          <w:b/>
          <w:i w:val="0"/>
          <w:sz w:val="24"/>
          <w:lang w:val="en-GB"/>
        </w:rPr>
        <w:t>THIRD CLAUSE</w:t>
      </w:r>
    </w:p>
    <w:p>
      <w:pPr>
        <w:keepNext/>
        <w:spacing w:after="200" w:before="0" w:line="360" w:lineRule="auto"/>
        <w:jc w:val="center"/>
      </w:pPr>
      <w:r>
        <w:rPr>
          <w:rFonts w:ascii="Garamond" w:hAnsi="Garamond" w:eastAsia="Garamond" w:cs="Garamond"/>
          <w:b/>
          <w:i w:val="0"/>
          <w:sz w:val="24"/>
          <w:lang w:val="en-GB"/>
        </w:rPr>
        <w:t>Exclusions from the Scope of Services</w:t>
      </w:r>
    </w:p>
    <w:p>
      <w:pPr>
        <w:spacing w:after="240" w:before="0" w:line="360" w:lineRule="auto"/>
        <w:jc w:val="both"/>
      </w:pPr>
      <w:r>
        <w:rPr>
          <w:rFonts w:ascii="Garamond" w:hAnsi="Garamond" w:eastAsia="Garamond" w:cs="Garamond"/>
          <w:b w:val="0"/>
          <w:i w:val="0"/>
          <w:sz w:val="24"/>
          <w:lang w:val="en-GB"/>
        </w:rPr>
        <w:t>1. The following are expressly excluded from this contract, unless otherwise agreed in writing:</w:t>
      </w:r>
    </w:p>
    <w:p>
      <w:pPr>
        <w:spacing w:after="160" w:before="0" w:line="360" w:lineRule="auto"/>
        <w:ind w:left="504" w:hanging="504"/>
        <w:jc w:val="both"/>
      </w:pPr>
      <w:r>
        <w:rPr>
          <w:rFonts w:ascii="Garamond" w:hAnsi="Garamond" w:eastAsia="Garamond" w:cs="Garamond"/>
          <w:b w:val="0"/>
          <w:i w:val="0"/>
          <w:sz w:val="24"/>
          <w:lang w:val="en-GB"/>
        </w:rPr>
        <w:t>a) Any guarantee of approval by a banking institution, which is always subject to its internal compliance review, risk policies, know-your-customer rules and final commercial decision;</w:t>
      </w:r>
    </w:p>
    <w:p>
      <w:pPr>
        <w:spacing w:after="160" w:before="0" w:line="360" w:lineRule="auto"/>
        <w:ind w:left="504" w:hanging="504"/>
        <w:jc w:val="both"/>
      </w:pPr>
      <w:r>
        <w:rPr>
          <w:rFonts w:ascii="Garamond" w:hAnsi="Garamond" w:eastAsia="Garamond" w:cs="Garamond"/>
          <w:b w:val="0"/>
          <w:i w:val="0"/>
          <w:sz w:val="24"/>
          <w:lang w:val="en-GB"/>
        </w:rPr>
        <w:t>b) The deposit, transfer or movement of funds of any nature, the use of bank cards, or the contracting of financial products, credit agreements or investment instruments on behalf of the Client;</w:t>
      </w:r>
    </w:p>
    <w:p>
      <w:pPr>
        <w:spacing w:after="160" w:before="0" w:line="360" w:lineRule="auto"/>
        <w:ind w:left="504" w:hanging="504"/>
        <w:jc w:val="both"/>
      </w:pPr>
      <w:r>
        <w:rPr>
          <w:rFonts w:ascii="Garamond" w:hAnsi="Garamond" w:eastAsia="Garamond" w:cs="Garamond"/>
          <w:b w:val="0"/>
          <w:i w:val="0"/>
          <w:sz w:val="24"/>
          <w:lang w:val="en-GB"/>
        </w:rPr>
        <w:t>c) Any responsibility for the banking institution’s fees, charges, minimum balance requirements, account maintenance costs or subsequent commercial conditions;</w:t>
      </w:r>
    </w:p>
    <w:p>
      <w:pPr>
        <w:spacing w:after="160" w:before="0" w:line="360" w:lineRule="auto"/>
        <w:ind w:left="504" w:hanging="504"/>
        <w:jc w:val="both"/>
      </w:pPr>
      <w:r>
        <w:rPr>
          <w:rFonts w:ascii="Garamond" w:hAnsi="Garamond" w:eastAsia="Garamond" w:cs="Garamond"/>
          <w:b w:val="0"/>
          <w:i w:val="0"/>
          <w:sz w:val="24"/>
          <w:lang w:val="en-GB"/>
        </w:rPr>
        <w:t>d) Approaching further banking institutions after [NUMBER OF BANKS] institution(s) have refused or declined the application, which shall be subject to a separate quotation;</w:t>
      </w:r>
    </w:p>
    <w:p>
      <w:pPr>
        <w:spacing w:after="160" w:before="0" w:line="360" w:lineRule="auto"/>
        <w:ind w:left="504" w:hanging="504"/>
        <w:jc w:val="both"/>
      </w:pPr>
      <w:r>
        <w:rPr>
          <w:rFonts w:ascii="Garamond" w:hAnsi="Garamond" w:eastAsia="Garamond" w:cs="Garamond"/>
          <w:b w:val="0"/>
          <w:i w:val="0"/>
          <w:sz w:val="24"/>
          <w:lang w:val="en-GB"/>
        </w:rPr>
        <w:t>e) Any government fees, official charges, taxes, stamp duties or charges due to the Tax and Customs Authority, to banking institutions or to any other public or private entity;</w:t>
      </w:r>
    </w:p>
    <w:p>
      <w:pPr>
        <w:spacing w:after="160" w:before="0" w:line="360" w:lineRule="auto"/>
        <w:ind w:left="504" w:hanging="504"/>
        <w:jc w:val="both"/>
      </w:pPr>
      <w:r>
        <w:rPr>
          <w:rFonts w:ascii="Garamond" w:hAnsi="Garamond" w:eastAsia="Garamond" w:cs="Garamond"/>
          <w:b w:val="0"/>
          <w:i w:val="0"/>
          <w:sz w:val="24"/>
          <w:lang w:val="en-GB"/>
        </w:rPr>
        <w:t>f) Notarial costs, acknowledgment of signatures, certification of copies, apostilles and legalisations;</w:t>
      </w:r>
    </w:p>
    <w:p>
      <w:pPr>
        <w:spacing w:after="160" w:before="0" w:line="360" w:lineRule="auto"/>
        <w:ind w:left="504" w:hanging="504"/>
        <w:jc w:val="both"/>
      </w:pPr>
      <w:r>
        <w:rPr>
          <w:rFonts w:ascii="Garamond" w:hAnsi="Garamond" w:eastAsia="Garamond" w:cs="Garamond"/>
          <w:b w:val="0"/>
          <w:i w:val="0"/>
          <w:sz w:val="24"/>
          <w:lang w:val="en-GB"/>
        </w:rPr>
        <w:t>g) Certified, sworn or reviewed translations;</w:t>
      </w:r>
    </w:p>
    <w:p>
      <w:pPr>
        <w:spacing w:after="160" w:before="0" w:line="360" w:lineRule="auto"/>
        <w:ind w:left="504" w:hanging="504"/>
        <w:jc w:val="both"/>
      </w:pPr>
      <w:r>
        <w:rPr>
          <w:rFonts w:ascii="Garamond" w:hAnsi="Garamond" w:eastAsia="Garamond" w:cs="Garamond"/>
          <w:b w:val="0"/>
          <w:i w:val="0"/>
          <w:sz w:val="24"/>
          <w:lang w:val="en-GB"/>
        </w:rPr>
        <w:t>h) Postal, courier or shipping costs;</w:t>
      </w:r>
    </w:p>
    <w:p>
      <w:pPr>
        <w:spacing w:after="160" w:before="0" w:line="360" w:lineRule="auto"/>
        <w:ind w:left="504" w:hanging="504"/>
        <w:jc w:val="both"/>
      </w:pPr>
      <w:r>
        <w:rPr>
          <w:rFonts w:ascii="Garamond" w:hAnsi="Garamond" w:eastAsia="Garamond" w:cs="Garamond"/>
          <w:b w:val="0"/>
          <w:i w:val="0"/>
          <w:sz w:val="24"/>
          <w:lang w:val="en-GB"/>
        </w:rPr>
        <w:t>i) Travel expenses or personal attendance before authorities beyond what is expressly included in the Second Clause;</w:t>
      </w:r>
    </w:p>
    <w:p>
      <w:pPr>
        <w:spacing w:after="160" w:before="0" w:line="360" w:lineRule="auto"/>
        <w:ind w:left="504" w:hanging="504"/>
        <w:jc w:val="both"/>
      </w:pPr>
      <w:r>
        <w:rPr>
          <w:rFonts w:ascii="Garamond" w:hAnsi="Garamond" w:eastAsia="Garamond" w:cs="Garamond"/>
          <w:b w:val="0"/>
          <w:i w:val="0"/>
          <w:sz w:val="24"/>
          <w:lang w:val="en-GB"/>
        </w:rPr>
        <w:t>j) The obtaining, correction or issuance of documents by foreign authorities, consulates, registries, employers or banks of the Client’s country of origin or residence;</w:t>
      </w:r>
    </w:p>
    <w:p>
      <w:pPr>
        <w:spacing w:after="160" w:before="0" w:line="360" w:lineRule="auto"/>
        <w:ind w:left="504" w:hanging="504"/>
        <w:jc w:val="both"/>
      </w:pPr>
      <w:r>
        <w:rPr>
          <w:rFonts w:ascii="Garamond" w:hAnsi="Garamond" w:eastAsia="Garamond" w:cs="Garamond"/>
          <w:b w:val="0"/>
          <w:i w:val="0"/>
          <w:sz w:val="24"/>
          <w:lang w:val="en-GB"/>
        </w:rPr>
        <w:t>k) Any liability of the Second Party arising from false, incorrect, inconsistent, incomplete, outdated or misleading data or documents provided by the Client;</w:t>
      </w:r>
    </w:p>
    <w:p>
      <w:pPr>
        <w:spacing w:after="160" w:before="0" w:line="360" w:lineRule="auto"/>
        <w:ind w:left="504" w:hanging="504"/>
        <w:jc w:val="both"/>
      </w:pPr>
      <w:r>
        <w:rPr>
          <w:rFonts w:ascii="Garamond" w:hAnsi="Garamond" w:eastAsia="Garamond" w:cs="Garamond"/>
          <w:b w:val="0"/>
          <w:i w:val="0"/>
          <w:sz w:val="24"/>
          <w:lang w:val="en-GB"/>
        </w:rPr>
        <w:t>l) Appeals, administrative complaints, judicial proceedings, new applications, resubmissions or any substantial additional work following a refusal, rejection, unfavourable decision or administrative silence.</w:t>
      </w:r>
    </w:p>
    <w:p>
      <w:pPr>
        <w:spacing w:after="240" w:before="0" w:line="360" w:lineRule="auto"/>
        <w:jc w:val="both"/>
      </w:pPr>
      <w:r>
        <w:rPr>
          <w:rFonts w:ascii="Garamond" w:hAnsi="Garamond" w:eastAsia="Garamond" w:cs="Garamond"/>
          <w:b w:val="0"/>
          <w:i w:val="0"/>
          <w:sz w:val="24"/>
          <w:lang w:val="en-GB"/>
        </w:rPr>
        <w:t>2. Any work requested by the Client beyond the agreed scope shall require prior approval by the Second Party and may be subject to additional fees, to be formalised by written addendum or new proposal.</w:t>
      </w:r>
    </w:p>
    <w:p>
      <w:pPr>
        <w:keepNext/>
        <w:spacing w:after="0" w:before="200" w:line="360" w:lineRule="auto"/>
        <w:jc w:val="center"/>
      </w:pPr>
      <w:r>
        <w:rPr>
          <w:rFonts w:ascii="Garamond" w:hAnsi="Garamond" w:eastAsia="Garamond" w:cs="Garamond"/>
          <w:b/>
          <w:i w:val="0"/>
          <w:sz w:val="24"/>
          <w:lang w:val="en-GB"/>
        </w:rPr>
        <w:t>FOURTH CLAUSE</w:t>
      </w:r>
    </w:p>
    <w:p>
      <w:pPr>
        <w:keepNext/>
        <w:spacing w:after="200" w:before="0" w:line="360" w:lineRule="auto"/>
        <w:jc w:val="center"/>
      </w:pPr>
      <w:r>
        <w:rPr>
          <w:rFonts w:ascii="Garamond" w:hAnsi="Garamond" w:eastAsia="Garamond" w:cs="Garamond"/>
          <w:b/>
          <w:i w:val="0"/>
          <w:sz w:val="24"/>
          <w:lang w:val="en-GB"/>
        </w:rPr>
        <w:t>Fees and Payment Terms</w:t>
      </w:r>
    </w:p>
    <w:p>
      <w:pPr>
        <w:spacing w:after="240" w:before="0" w:line="360" w:lineRule="auto"/>
        <w:jc w:val="both"/>
      </w:pPr>
      <w:r>
        <w:rPr>
          <w:rFonts w:ascii="Garamond" w:hAnsi="Garamond" w:eastAsia="Garamond" w:cs="Garamond"/>
          <w:b w:val="0"/>
          <w:i w:val="0"/>
          <w:sz w:val="24"/>
          <w:lang w:val="en-GB"/>
        </w:rPr>
        <w:t xml:space="preserve">1. The total fee for the services described in this contract is </w:t>
      </w:r>
      <w:r>
        <w:rPr>
          <w:rFonts w:ascii="Garamond" w:hAnsi="Garamond" w:eastAsia="Garamond" w:cs="Garamond"/>
          <w:b/>
          <w:i w:val="0"/>
          <w:sz w:val="24"/>
          <w:lang w:val="en-GB"/>
        </w:rPr>
        <w:t>€[TOTAL FEE] ([FEE IN WORDS] euros)</w:t>
      </w:r>
      <w:r>
        <w:rPr>
          <w:rFonts w:ascii="Garamond" w:hAnsi="Garamond" w:eastAsia="Garamond" w:cs="Garamond"/>
          <w:b w:val="0"/>
          <w:i w:val="0"/>
          <w:sz w:val="24"/>
          <w:lang w:val="en-GB"/>
        </w:rPr>
        <w:t>, VAT included.</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fee is payable in full, in advance, upon engagement and before the commencement of any work by the Second Party.</w:t>
      </w:r>
      <w:r>
        <w:rPr>
          <w:rFonts w:ascii="Garamond" w:hAnsi="Garamond" w:eastAsia="Garamond" w:cs="Garamond"/>
          <w:b w:val="0"/>
          <w:i w:val="0"/>
          <w:sz w:val="24"/>
          <w:lang w:val="en-GB"/>
        </w:rPr>
        <w:t xml:space="preserve"> This contract shall only enter into force upon confirmation of the cleared payment.</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fee is due for the professional work performed and not for the outcome obtained</w:t>
      </w:r>
      <w:r>
        <w:rPr>
          <w:rFonts w:ascii="Garamond" w:hAnsi="Garamond" w:eastAsia="Garamond" w:cs="Garamond"/>
          <w:b w:val="0"/>
          <w:i w:val="0"/>
          <w:sz w:val="24"/>
          <w:lang w:val="en-GB"/>
        </w:rPr>
        <w:t>, and is due in full even if the application is refused, delayed, or if additional documents are required by the competent entity.</w:t>
      </w:r>
    </w:p>
    <w:p>
      <w:pPr>
        <w:spacing w:after="240" w:before="0" w:line="360" w:lineRule="auto"/>
        <w:jc w:val="both"/>
      </w:pPr>
      <w:r>
        <w:rPr>
          <w:rFonts w:ascii="Garamond" w:hAnsi="Garamond" w:eastAsia="Garamond" w:cs="Garamond"/>
          <w:b w:val="0"/>
          <w:i w:val="0"/>
          <w:sz w:val="24"/>
          <w:lang w:val="en-GB"/>
        </w:rPr>
        <w:t>4. The amount referred to above covers exclusively the services expressly included in the Second Clause. It does not include any of the costs listed in the Third Clause, which shall be borne separately by the Client.</w:t>
      </w:r>
    </w:p>
    <w:p>
      <w:pPr>
        <w:spacing w:after="240" w:before="0" w:line="360" w:lineRule="auto"/>
        <w:jc w:val="both"/>
      </w:pPr>
      <w:r>
        <w:rPr>
          <w:rFonts w:ascii="Garamond" w:hAnsi="Garamond" w:eastAsia="Garamond" w:cs="Garamond"/>
          <w:b w:val="0"/>
          <w:i w:val="0"/>
          <w:sz w:val="24"/>
          <w:lang w:val="en-GB"/>
        </w:rPr>
        <w:t>5. Where the banking institution requires the Second Party to perform in-person attendance beyond one visit, or to approach a further institution after a refusal, such work shall be subject to a separate fee, to be agreed in advance in writing.</w:t>
      </w:r>
    </w:p>
    <w:p>
      <w:pPr>
        <w:spacing w:after="240" w:before="0" w:line="360" w:lineRule="auto"/>
        <w:jc w:val="both"/>
      </w:pPr>
      <w:r>
        <w:rPr>
          <w:rFonts w:ascii="Garamond" w:hAnsi="Garamond" w:eastAsia="Garamond" w:cs="Garamond"/>
          <w:b w:val="0"/>
          <w:i w:val="0"/>
          <w:sz w:val="24"/>
          <w:lang w:val="en-GB"/>
        </w:rPr>
        <w:t>6. The Second Party shall not be required to commence or continue the provision of services, prepare documents, submit applications or coordinate with third parties before the corresponding payment has been received in full and cleared.</w:t>
      </w:r>
    </w:p>
    <w:p>
      <w:pPr>
        <w:spacing w:after="240" w:before="0" w:line="360" w:lineRule="auto"/>
        <w:jc w:val="both"/>
      </w:pPr>
      <w:r>
        <w:rPr>
          <w:rFonts w:ascii="Garamond" w:hAnsi="Garamond" w:eastAsia="Garamond" w:cs="Garamond"/>
          <w:b w:val="0"/>
          <w:i w:val="0"/>
          <w:sz w:val="24"/>
          <w:lang w:val="en-GB"/>
        </w:rPr>
        <w:t>7. Where there are international bank transfers, currency conversion costs, bank charges or remittance fees, such costs shall be borne exclusively by the Client, and the net amount received by the Second Party must correspond in full to the agreed fee.</w:t>
      </w:r>
    </w:p>
    <w:p>
      <w:pPr>
        <w:keepNext/>
        <w:spacing w:after="0" w:before="200" w:line="360" w:lineRule="auto"/>
        <w:jc w:val="center"/>
      </w:pPr>
      <w:r>
        <w:rPr>
          <w:rFonts w:ascii="Garamond" w:hAnsi="Garamond" w:eastAsia="Garamond" w:cs="Garamond"/>
          <w:b/>
          <w:i w:val="0"/>
          <w:sz w:val="24"/>
          <w:lang w:val="en-GB"/>
        </w:rPr>
        <w:t>FIFTH CLAUSE</w:t>
      </w:r>
    </w:p>
    <w:p>
      <w:pPr>
        <w:keepNext/>
        <w:spacing w:after="200" w:before="0" w:line="360" w:lineRule="auto"/>
        <w:jc w:val="center"/>
      </w:pPr>
      <w:r>
        <w:rPr>
          <w:rFonts w:ascii="Garamond" w:hAnsi="Garamond" w:eastAsia="Garamond" w:cs="Garamond"/>
          <w:b/>
          <w:i w:val="0"/>
          <w:sz w:val="24"/>
          <w:lang w:val="en-GB"/>
        </w:rPr>
        <w:t>Right of Withdrawal, Immediate Commencement and Proportional Payment</w:t>
      </w:r>
    </w:p>
    <w:p>
      <w:pPr>
        <w:spacing w:after="240" w:before="0" w:line="360" w:lineRule="auto"/>
        <w:jc w:val="both"/>
      </w:pPr>
      <w:r>
        <w:rPr>
          <w:rFonts w:ascii="Garamond" w:hAnsi="Garamond" w:eastAsia="Garamond" w:cs="Garamond"/>
          <w:b w:val="0"/>
          <w:i w:val="0"/>
          <w:sz w:val="24"/>
          <w:lang w:val="en-GB"/>
        </w:rPr>
        <w:t xml:space="preserve">1. Where the Client is a consumer within the meaning of Article 3(c) of Decree-Law no. 24/2014, of 14 February, and this contract is concluded at a distance or away from business premises, the Client has the right to withdraw from this contract within </w:t>
      </w:r>
      <w:r>
        <w:rPr>
          <w:rFonts w:ascii="Garamond" w:hAnsi="Garamond" w:eastAsia="Garamond" w:cs="Garamond"/>
          <w:b/>
          <w:i w:val="0"/>
          <w:sz w:val="24"/>
          <w:lang w:val="en-GB"/>
        </w:rPr>
        <w:t>14 (fourteen) days</w:t>
      </w:r>
      <w:r>
        <w:rPr>
          <w:rFonts w:ascii="Garamond" w:hAnsi="Garamond" w:eastAsia="Garamond" w:cs="Garamond"/>
          <w:b w:val="0"/>
          <w:i w:val="0"/>
          <w:sz w:val="24"/>
          <w:lang w:val="en-GB"/>
        </w:rPr>
        <w:t xml:space="preserve"> from the date of its conclusion, under Article 10(1)(a) of that Decree-Law, without need to state any reason.</w:t>
      </w:r>
    </w:p>
    <w:p>
      <w:pPr>
        <w:spacing w:after="240" w:before="0" w:line="360" w:lineRule="auto"/>
        <w:jc w:val="both"/>
      </w:pPr>
      <w:r>
        <w:rPr>
          <w:rFonts w:ascii="Garamond" w:hAnsi="Garamond" w:eastAsia="Garamond" w:cs="Garamond"/>
          <w:b w:val="0"/>
          <w:i w:val="0"/>
          <w:sz w:val="24"/>
          <w:lang w:val="en-GB"/>
        </w:rPr>
        <w:t>2. To exercise that right, the Client must inform the Second Party of the decision to withdraw by an unequivocal statement sent to the email address indicated in this contract, and may use the withdrawal form set out in Part C of Annex I, which forms an integral part of this contract. It is sufficient that the communication be sent before the end of the 14-day period.</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requests the Second Party to commence the provision of the contracted services immediately, before the end of the withdrawal period.</w:t>
      </w:r>
      <w:r>
        <w:rPr>
          <w:rFonts w:ascii="Garamond" w:hAnsi="Garamond" w:eastAsia="Garamond" w:cs="Garamond"/>
          <w:b w:val="0"/>
          <w:i w:val="0"/>
          <w:sz w:val="24"/>
          <w:lang w:val="en-GB"/>
        </w:rPr>
        <w:t xml:space="preserve"> That request is made in a durable medium, in the terms required by Article 15(1) of Decree-Law no. 24/2014, by signing Part A of Annex I.</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expressly acknowledges that, having made that request, if the Client withdraws from the contract after the services have begun, the Client shall pay an amount proportional to the services actually provided</w:t>
      </w:r>
      <w:r>
        <w:rPr>
          <w:rFonts w:ascii="Garamond" w:hAnsi="Garamond" w:eastAsia="Garamond" w:cs="Garamond"/>
          <w:b w:val="0"/>
          <w:i w:val="0"/>
          <w:sz w:val="24"/>
          <w:lang w:val="en-GB"/>
        </w:rPr>
        <w:t xml:space="preserve"> up to the moment the withdrawal is communicated, under Article 15(2) of Decree-Law no. 24/2014. That amount shall be calculated by reference to the phases initiated or completed and to the percentages allocated to them in the Eleventh Clause, which the parties agree reflect the actual distribution of the work involved.</w:t>
      </w:r>
    </w:p>
    <w:p>
      <w:pPr>
        <w:spacing w:after="240" w:before="0" w:line="360" w:lineRule="auto"/>
        <w:jc w:val="both"/>
      </w:pPr>
      <w:r>
        <w:rPr>
          <w:rFonts w:ascii="Garamond" w:hAnsi="Garamond" w:eastAsia="Garamond" w:cs="Garamond"/>
          <w:b w:val="0"/>
          <w:i w:val="0"/>
          <w:sz w:val="24"/>
          <w:lang w:val="en-GB"/>
        </w:rPr>
        <w:t xml:space="preserve">5. </w:t>
      </w:r>
      <w:r>
        <w:rPr>
          <w:rFonts w:ascii="Garamond" w:hAnsi="Garamond" w:eastAsia="Garamond" w:cs="Garamond"/>
          <w:b/>
          <w:i w:val="0"/>
          <w:sz w:val="24"/>
          <w:lang w:val="en-GB"/>
        </w:rPr>
        <w:t>The Client further expressly acknowledges that, once the contracted services have been fully performed with the Client’s prior express consent, the Client loses the right of withdrawal</w:t>
      </w:r>
      <w:r>
        <w:rPr>
          <w:rFonts w:ascii="Garamond" w:hAnsi="Garamond" w:eastAsia="Garamond" w:cs="Garamond"/>
          <w:b w:val="0"/>
          <w:i w:val="0"/>
          <w:sz w:val="24"/>
          <w:lang w:val="en-GB"/>
        </w:rPr>
        <w:t>, under Article 17(1)(a) of Decree-Law no. 24/2014. That consent and that acknowledgement are given by signing Part A of Annex I, before the commencement of the services.</w:t>
      </w:r>
    </w:p>
    <w:p>
      <w:pPr>
        <w:spacing w:after="240" w:before="0" w:line="360" w:lineRule="auto"/>
        <w:jc w:val="both"/>
      </w:pPr>
      <w:r>
        <w:rPr>
          <w:rFonts w:ascii="Garamond" w:hAnsi="Garamond" w:eastAsia="Garamond" w:cs="Garamond"/>
          <w:b w:val="0"/>
          <w:i w:val="0"/>
          <w:sz w:val="24"/>
          <w:lang w:val="en-GB"/>
        </w:rPr>
        <w:t>6. For the purposes of the preceding paragraph, the services are deemed fully performed upon the delivery to the Client, by email, of the account details and of the credentials or access codes made available by the banking institution, or, where the institution refuses the application, the communication of that refusal to the Client, and the date of that communication shall be recorded by the Second Party.</w:t>
      </w:r>
    </w:p>
    <w:p>
      <w:pPr>
        <w:spacing w:after="240" w:before="0" w:line="360" w:lineRule="auto"/>
        <w:jc w:val="both"/>
      </w:pPr>
      <w:r>
        <w:rPr>
          <w:rFonts w:ascii="Garamond" w:hAnsi="Garamond" w:eastAsia="Garamond" w:cs="Garamond"/>
          <w:b w:val="0"/>
          <w:i w:val="0"/>
          <w:sz w:val="24"/>
          <w:lang w:val="en-GB"/>
        </w:rPr>
        <w:t xml:space="preserve">7. The right of withdrawal set out in this clause </w:t>
      </w:r>
      <w:r>
        <w:rPr>
          <w:rFonts w:ascii="Garamond" w:hAnsi="Garamond" w:eastAsia="Garamond" w:cs="Garamond"/>
          <w:b/>
          <w:i w:val="0"/>
          <w:sz w:val="24"/>
          <w:lang w:val="en-GB"/>
        </w:rPr>
        <w:t>does not apply</w:t>
      </w:r>
      <w:r>
        <w:rPr>
          <w:rFonts w:ascii="Garamond" w:hAnsi="Garamond" w:eastAsia="Garamond" w:cs="Garamond"/>
          <w:b w:val="0"/>
          <w:i w:val="0"/>
          <w:sz w:val="24"/>
          <w:lang w:val="en-GB"/>
        </w:rPr>
        <w:t xml:space="preserve"> where the Client is not a consumer, namely where the Client acts within the scope of a commercial, industrial, artisanal or professional activity, or where this contract is signed in person at the premises of the Second Party. In such cases the remaining clauses of this contract apply in full.</w:t>
      </w:r>
    </w:p>
    <w:p>
      <w:pPr>
        <w:spacing w:after="240" w:before="0" w:line="360" w:lineRule="auto"/>
        <w:jc w:val="both"/>
      </w:pPr>
      <w:r>
        <w:rPr>
          <w:rFonts w:ascii="Garamond" w:hAnsi="Garamond" w:eastAsia="Garamond" w:cs="Garamond"/>
          <w:b w:val="0"/>
          <w:i w:val="0"/>
          <w:sz w:val="24"/>
          <w:lang w:val="en-GB"/>
        </w:rPr>
        <w:t>8. From the moment this contract enters into force, the Second Party may begin work immediately, including internal case analysis, legal review, checklist preparation, client onboarding, preparation of the power of attorney and of the forms, communication and coordination with third parties, submission attempts, administrative preparation and strategic planning.</w:t>
      </w:r>
    </w:p>
    <w:p>
      <w:pPr>
        <w:spacing w:after="240" w:before="0" w:line="360" w:lineRule="auto"/>
        <w:jc w:val="both"/>
      </w:pPr>
      <w:r>
        <w:rPr>
          <w:rFonts w:ascii="Garamond" w:hAnsi="Garamond" w:eastAsia="Garamond" w:cs="Garamond"/>
          <w:b w:val="0"/>
          <w:i w:val="0"/>
          <w:sz w:val="24"/>
          <w:lang w:val="en-GB"/>
        </w:rPr>
        <w:t>9. The Client acknowledges that these initial steps constitute effective performance of the contracted services and generate professional work, internal allocation of time and administrative action from the outset.</w:t>
      </w:r>
    </w:p>
    <w:p>
      <w:pPr>
        <w:keepNext/>
        <w:spacing w:after="0" w:before="200" w:line="360" w:lineRule="auto"/>
        <w:jc w:val="center"/>
      </w:pPr>
      <w:r>
        <w:rPr>
          <w:rFonts w:ascii="Garamond" w:hAnsi="Garamond" w:eastAsia="Garamond" w:cs="Garamond"/>
          <w:b/>
          <w:i w:val="0"/>
          <w:sz w:val="24"/>
          <w:lang w:val="en-GB"/>
        </w:rPr>
        <w:t>SIXTH CLAUSE</w:t>
      </w:r>
    </w:p>
    <w:p>
      <w:pPr>
        <w:keepNext/>
        <w:spacing w:after="200" w:before="0" w:line="360" w:lineRule="auto"/>
        <w:jc w:val="center"/>
      </w:pPr>
      <w:r>
        <w:rPr>
          <w:rFonts w:ascii="Garamond" w:hAnsi="Garamond" w:eastAsia="Garamond" w:cs="Garamond"/>
          <w:b/>
          <w:i w:val="0"/>
          <w:sz w:val="24"/>
          <w:lang w:val="en-GB"/>
        </w:rPr>
        <w:t>Client Cooperation, Documentation and Delays</w:t>
      </w:r>
    </w:p>
    <w:p>
      <w:pPr>
        <w:spacing w:after="240" w:before="0" w:line="360" w:lineRule="auto"/>
        <w:jc w:val="both"/>
      </w:pPr>
      <w:r>
        <w:rPr>
          <w:rFonts w:ascii="Garamond" w:hAnsi="Garamond" w:eastAsia="Garamond" w:cs="Garamond"/>
          <w:b w:val="0"/>
          <w:i w:val="0"/>
          <w:sz w:val="24"/>
          <w:lang w:val="en-GB"/>
        </w:rPr>
        <w:t>1. The Client undertakes to cooperate actively, diligently and in good faith throughout the entire process, and is solely responsible for providing complete, accurate, truthful, updated and properly formatted documents and information within the deadlines indicated by the Second Party.</w:t>
      </w:r>
    </w:p>
    <w:p>
      <w:pPr>
        <w:spacing w:after="240" w:before="0" w:line="360" w:lineRule="auto"/>
        <w:jc w:val="both"/>
      </w:pPr>
      <w:r>
        <w:rPr>
          <w:rFonts w:ascii="Garamond" w:hAnsi="Garamond" w:eastAsia="Garamond" w:cs="Garamond"/>
          <w:b w:val="0"/>
          <w:i w:val="0"/>
          <w:sz w:val="24"/>
          <w:lang w:val="en-GB"/>
        </w:rPr>
        <w:t>2. The Client acknowledges that the progress of the services depends directly on the timely provision of documents, information, signatures, payments, confirmations and authorisations, including the signature and, where required, the notarisation or apostille of the power of attorney.</w:t>
      </w:r>
    </w:p>
    <w:p>
      <w:pPr>
        <w:spacing w:after="240" w:before="0" w:line="360" w:lineRule="auto"/>
        <w:jc w:val="both"/>
      </w:pPr>
      <w:r>
        <w:rPr>
          <w:rFonts w:ascii="Garamond" w:hAnsi="Garamond" w:eastAsia="Garamond" w:cs="Garamond"/>
          <w:b w:val="0"/>
          <w:i w:val="0"/>
          <w:sz w:val="24"/>
          <w:lang w:val="en-GB"/>
        </w:rPr>
        <w:t>3. Any delay, refusal, omission, incomplete submission, illegible document, inconsistent information or lack of cooperation by the Client may delay, suspend or prevent the continuation of the process, without any liability being attributed to the Second Party.</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reduction of fees or compensation</w:t>
      </w:r>
      <w:r>
        <w:rPr>
          <w:rFonts w:ascii="Garamond" w:hAnsi="Garamond" w:eastAsia="Garamond" w:cs="Garamond"/>
          <w:b w:val="0"/>
          <w:i w:val="0"/>
          <w:sz w:val="24"/>
          <w:lang w:val="en-GB"/>
        </w:rPr>
        <w:t xml:space="preserve"> where the delay or impossibility of progress results from the Client’s failure to provide documents, information, signatures, confirmations or cooperation required for the proper performance of the services.</w:t>
      </w:r>
    </w:p>
    <w:p>
      <w:pPr>
        <w:spacing w:after="240" w:before="0" w:line="360" w:lineRule="auto"/>
        <w:jc w:val="both"/>
      </w:pPr>
      <w:r>
        <w:rPr>
          <w:rFonts w:ascii="Garamond" w:hAnsi="Garamond" w:eastAsia="Garamond" w:cs="Garamond"/>
          <w:b w:val="0"/>
          <w:i w:val="0"/>
          <w:sz w:val="24"/>
          <w:lang w:val="en-GB"/>
        </w:rPr>
        <w:t xml:space="preserve">5. If the Client fails to provide the requested documents or information for more than 30 (thirty) consecutive days, the Second Party may suspend the services until the required cooperation is provided. If such lack of cooperation continues for more than 60 (sixty) consecutive days, </w:t>
      </w:r>
      <w:r>
        <w:rPr>
          <w:rFonts w:ascii="Garamond" w:hAnsi="Garamond" w:eastAsia="Garamond" w:cs="Garamond"/>
          <w:b/>
          <w:i w:val="0"/>
          <w:sz w:val="24"/>
          <w:lang w:val="en-GB"/>
        </w:rPr>
        <w:t>the Second Party may consider this contract terminated due to non-cooperation, without any obligation to refund the fees paid</w:t>
      </w:r>
      <w:r>
        <w:rPr>
          <w:rFonts w:ascii="Garamond" w:hAnsi="Garamond" w:eastAsia="Garamond" w:cs="Garamond"/>
          <w:b w:val="0"/>
          <w:i w:val="0"/>
          <w:sz w:val="24"/>
          <w:lang w:val="en-GB"/>
        </w:rPr>
        <w:t xml:space="preserve"> in respect of work already commenced or performed.</w:t>
      </w:r>
    </w:p>
    <w:p>
      <w:pPr>
        <w:keepNext/>
        <w:spacing w:after="0" w:before="200" w:line="360" w:lineRule="auto"/>
        <w:jc w:val="center"/>
      </w:pPr>
      <w:r>
        <w:rPr>
          <w:rFonts w:ascii="Garamond" w:hAnsi="Garamond" w:eastAsia="Garamond" w:cs="Garamond"/>
          <w:b/>
          <w:i w:val="0"/>
          <w:sz w:val="24"/>
          <w:lang w:val="en-GB"/>
        </w:rPr>
        <w:t>SEVENTH CLAUSE</w:t>
      </w:r>
    </w:p>
    <w:p>
      <w:pPr>
        <w:keepNext/>
        <w:spacing w:after="200" w:before="0" w:line="360" w:lineRule="auto"/>
        <w:jc w:val="center"/>
      </w:pPr>
      <w:r>
        <w:rPr>
          <w:rFonts w:ascii="Garamond" w:hAnsi="Garamond" w:eastAsia="Garamond" w:cs="Garamond"/>
          <w:b/>
          <w:i w:val="0"/>
          <w:sz w:val="24"/>
          <w:lang w:val="en-GB"/>
        </w:rPr>
        <w:t>Third-Party Availability, Systems and Compliance</w:t>
      </w:r>
    </w:p>
    <w:p>
      <w:pPr>
        <w:spacing w:after="240" w:before="0" w:line="360" w:lineRule="auto"/>
        <w:jc w:val="both"/>
      </w:pPr>
      <w:r>
        <w:rPr>
          <w:rFonts w:ascii="Garamond" w:hAnsi="Garamond" w:eastAsia="Garamond" w:cs="Garamond"/>
          <w:b w:val="0"/>
          <w:i w:val="0"/>
          <w:sz w:val="24"/>
          <w:lang w:val="en-GB"/>
        </w:rPr>
        <w:t>1. The Client acknowledges that the availability of acts, electronic platforms, appointment slots, offices and procedures at the Tax and Customs Authority, banking institutions and any other public or private entity is entirely outside the control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opening of a bank account is always subject to the internal compliance review, risk policies, know-your-customer rules and final commercial decision of the banking institution.</w:t>
      </w:r>
      <w:r>
        <w:rPr>
          <w:rFonts w:ascii="Garamond" w:hAnsi="Garamond" w:eastAsia="Garamond" w:cs="Garamond"/>
          <w:b w:val="0"/>
          <w:i w:val="0"/>
          <w:sz w:val="24"/>
          <w:lang w:val="en-GB"/>
        </w:rPr>
        <w:t xml:space="preserve"> The Second Party cannot guarantee approval, acceptance, timing, conditions or continuity of any banking relationship, and the refusal of the Client by one or more institutions does not constitute breach of this contract.</w:t>
      </w:r>
    </w:p>
    <w:p>
      <w:pPr>
        <w:spacing w:after="240" w:before="0" w:line="360" w:lineRule="auto"/>
        <w:jc w:val="both"/>
      </w:pPr>
      <w:r>
        <w:rPr>
          <w:rFonts w:ascii="Garamond" w:hAnsi="Garamond" w:eastAsia="Garamond" w:cs="Garamond"/>
          <w:b w:val="0"/>
          <w:i w:val="0"/>
          <w:sz w:val="24"/>
          <w:lang w:val="en-GB"/>
        </w:rPr>
        <w:t>3. The Client acknowledges that banking institutions may require additional documents, certifications, proof of source of funds, or the personal presence of the Client, and that such requirements are imposed by the institution and not by the Second Party.</w:t>
      </w:r>
    </w:p>
    <w:p>
      <w:pPr>
        <w:spacing w:after="240" w:before="0" w:line="360" w:lineRule="auto"/>
        <w:jc w:val="both"/>
      </w:pPr>
      <w:r>
        <w:rPr>
          <w:rFonts w:ascii="Garamond" w:hAnsi="Garamond" w:eastAsia="Garamond" w:cs="Garamond"/>
          <w:b w:val="0"/>
          <w:i w:val="0"/>
          <w:sz w:val="24"/>
          <w:lang w:val="en-GB"/>
        </w:rPr>
        <w:t xml:space="preserve">4. The inability to conclude the procedure within a timeframe desired by the Client, the unavailability of slots or systems, delays by third parties, compliance requirements, requests for additional documentation or a refusal by any entity </w:t>
      </w:r>
      <w:r>
        <w:rPr>
          <w:rFonts w:ascii="Garamond" w:hAnsi="Garamond" w:eastAsia="Garamond" w:cs="Garamond"/>
          <w:b/>
          <w:i w:val="0"/>
          <w:sz w:val="24"/>
          <w:lang w:val="en-GB"/>
        </w:rPr>
        <w:t>shall not constitute breach of contract by the Second Party and shall not entitle the Client to a refund</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EIGHTH CLAUSE</w:t>
      </w:r>
    </w:p>
    <w:p>
      <w:pPr>
        <w:keepNext/>
        <w:spacing w:after="200" w:before="0" w:line="360" w:lineRule="auto"/>
        <w:jc w:val="center"/>
      </w:pPr>
      <w:r>
        <w:rPr>
          <w:rFonts w:ascii="Garamond" w:hAnsi="Garamond" w:eastAsia="Garamond" w:cs="Garamond"/>
          <w:b/>
          <w:i w:val="0"/>
          <w:sz w:val="24"/>
          <w:lang w:val="en-GB"/>
        </w:rPr>
        <w:t>Communication, Updates and Follow-Up</w:t>
      </w:r>
    </w:p>
    <w:p>
      <w:pPr>
        <w:spacing w:after="240" w:before="0" w:line="360" w:lineRule="auto"/>
        <w:jc w:val="both"/>
      </w:pPr>
      <w:r>
        <w:rPr>
          <w:rFonts w:ascii="Garamond" w:hAnsi="Garamond" w:eastAsia="Garamond" w:cs="Garamond"/>
          <w:b w:val="0"/>
          <w:i w:val="0"/>
          <w:sz w:val="24"/>
          <w:lang w:val="en-GB"/>
        </w:rPr>
        <w:t>1. The Second Party shall communicate with the Client in a professional and timely manner, providing updates at the relevant stages of the process, by email and/or other channels designated by the Second Party, on business days and during business hours.</w:t>
      </w:r>
    </w:p>
    <w:p>
      <w:pPr>
        <w:spacing w:after="240" w:before="0" w:line="360" w:lineRule="auto"/>
        <w:jc w:val="both"/>
      </w:pPr>
      <w:r>
        <w:rPr>
          <w:rFonts w:ascii="Garamond" w:hAnsi="Garamond" w:eastAsia="Garamond" w:cs="Garamond"/>
          <w:b w:val="0"/>
          <w:i w:val="0"/>
          <w:sz w:val="24"/>
          <w:lang w:val="en-GB"/>
        </w:rPr>
        <w:t>2. The Client acknowledges that the contracted services do not include unlimited calls, unlimited follow-up meetings, permanent instant-messaging availability, daily updates where there is no substantive development, or repeated explanations of matters already clarified in writing or during a meeting.</w:t>
      </w:r>
    </w:p>
    <w:p>
      <w:pPr>
        <w:spacing w:after="240" w:before="0" w:line="360" w:lineRule="auto"/>
        <w:jc w:val="both"/>
      </w:pPr>
      <w:r>
        <w:rPr>
          <w:rFonts w:ascii="Garamond" w:hAnsi="Garamond" w:eastAsia="Garamond" w:cs="Garamond"/>
          <w:b w:val="0"/>
          <w:i w:val="0"/>
          <w:sz w:val="24"/>
          <w:lang w:val="en-GB"/>
        </w:rPr>
        <w:t>3. Reasonable clarifications within the contractual scope are included. Excessive, repetitive or abusive communications, or requests for additional meetings beyond what is reasonably required, may be treated as additional work and charged separately.</w:t>
      </w:r>
    </w:p>
    <w:p>
      <w:pPr>
        <w:spacing w:after="240" w:before="0" w:line="360" w:lineRule="auto"/>
        <w:jc w:val="both"/>
      </w:pPr>
      <w:r>
        <w:rPr>
          <w:rFonts w:ascii="Garamond" w:hAnsi="Garamond" w:eastAsia="Garamond" w:cs="Garamond"/>
          <w:b w:val="0"/>
          <w:i w:val="0"/>
          <w:sz w:val="24"/>
          <w:lang w:val="en-GB"/>
        </w:rPr>
        <w:t>4. The absence of daily communication does not mean that the process is not being monitored or worked on.</w:t>
      </w:r>
    </w:p>
    <w:p>
      <w:pPr>
        <w:keepNext/>
        <w:spacing w:after="0" w:before="200" w:line="360" w:lineRule="auto"/>
        <w:jc w:val="center"/>
      </w:pPr>
      <w:r>
        <w:rPr>
          <w:rFonts w:ascii="Garamond" w:hAnsi="Garamond" w:eastAsia="Garamond" w:cs="Garamond"/>
          <w:b/>
          <w:i w:val="0"/>
          <w:sz w:val="24"/>
          <w:lang w:val="en-GB"/>
        </w:rPr>
        <w:t>NINTH CLAUSE</w:t>
      </w:r>
    </w:p>
    <w:p>
      <w:pPr>
        <w:keepNext/>
        <w:spacing w:after="200" w:before="0" w:line="360" w:lineRule="auto"/>
        <w:jc w:val="center"/>
      </w:pPr>
      <w:r>
        <w:rPr>
          <w:rFonts w:ascii="Garamond" w:hAnsi="Garamond" w:eastAsia="Garamond" w:cs="Garamond"/>
          <w:b/>
          <w:i w:val="0"/>
          <w:sz w:val="24"/>
          <w:lang w:val="en-GB"/>
        </w:rPr>
        <w:t>Power of Attorney and Limits of Representation</w:t>
      </w:r>
    </w:p>
    <w:p>
      <w:pPr>
        <w:spacing w:after="240" w:before="0" w:line="360" w:lineRule="auto"/>
        <w:jc w:val="both"/>
      </w:pPr>
      <w:r>
        <w:rPr>
          <w:rFonts w:ascii="Garamond" w:hAnsi="Garamond" w:eastAsia="Garamond" w:cs="Garamond"/>
          <w:b w:val="0"/>
          <w:i w:val="0"/>
          <w:sz w:val="24"/>
          <w:lang w:val="en-GB"/>
        </w:rPr>
        <w:t>1. The performance of this contract requires the Client to grant a power of attorney in the form provided by the Second Party, and, where required by the competent entity, duly signed, notarised and/or apostilled at the Client’s expense.</w:t>
      </w:r>
    </w:p>
    <w:p>
      <w:pPr>
        <w:spacing w:after="240" w:before="0" w:line="360" w:lineRule="auto"/>
        <w:jc w:val="both"/>
      </w:pPr>
      <w:r>
        <w:rPr>
          <w:rFonts w:ascii="Garamond" w:hAnsi="Garamond" w:eastAsia="Garamond" w:cs="Garamond"/>
          <w:b w:val="0"/>
          <w:i w:val="0"/>
          <w:sz w:val="24"/>
          <w:lang w:val="en-GB"/>
        </w:rPr>
        <w:t xml:space="preserve">2. The powers granted for the banking procedure are </w:t>
      </w:r>
      <w:r>
        <w:rPr>
          <w:rFonts w:ascii="Garamond" w:hAnsi="Garamond" w:eastAsia="Garamond" w:cs="Garamond"/>
          <w:b/>
          <w:i w:val="0"/>
          <w:sz w:val="24"/>
          <w:lang w:val="en-GB"/>
        </w:rPr>
        <w:t>strictly limited to the administrative, preparatory and technical acts necessary for the opening, formalisation and activation of the account</w:t>
      </w:r>
      <w:r>
        <w:rPr>
          <w:rFonts w:ascii="Garamond" w:hAnsi="Garamond" w:eastAsia="Garamond" w:cs="Garamond"/>
          <w:b w:val="0"/>
          <w:i w:val="0"/>
          <w:sz w:val="24"/>
          <w:lang w:val="en-GB"/>
        </w:rPr>
        <w:t>. The Second Party is expressly prohibited from carrying out withdrawals, transfers or payments, from using bank cards, from ordering or authorising movements of funds, and from contracting financial products, credit or investment instruments on behalf of the Client.</w:t>
      </w:r>
    </w:p>
    <w:p>
      <w:pPr>
        <w:spacing w:after="240" w:before="0" w:line="360" w:lineRule="auto"/>
        <w:jc w:val="both"/>
      </w:pPr>
      <w:r>
        <w:rPr>
          <w:rFonts w:ascii="Garamond" w:hAnsi="Garamond" w:eastAsia="Garamond" w:cs="Garamond"/>
          <w:b w:val="0"/>
          <w:i w:val="0"/>
          <w:sz w:val="24"/>
          <w:lang w:val="en-GB"/>
        </w:rPr>
        <w:t xml:space="preserve">3. The Client may revoke the power of attorney at any time. </w:t>
      </w:r>
      <w:r>
        <w:rPr>
          <w:rFonts w:ascii="Garamond" w:hAnsi="Garamond" w:eastAsia="Garamond" w:cs="Garamond"/>
          <w:b/>
          <w:i w:val="0"/>
          <w:sz w:val="24"/>
          <w:lang w:val="en-GB"/>
        </w:rPr>
        <w:t>Such revocation terminates the possibility of further performance by the Second Party but does not entitle the Client to a refund</w:t>
      </w:r>
      <w:r>
        <w:rPr>
          <w:rFonts w:ascii="Garamond" w:hAnsi="Garamond" w:eastAsia="Garamond" w:cs="Garamond"/>
          <w:b w:val="0"/>
          <w:i w:val="0"/>
          <w:sz w:val="24"/>
          <w:lang w:val="en-GB"/>
        </w:rPr>
        <w:t xml:space="preserve"> of fees corresponding to work already commenced or performed.</w:t>
      </w:r>
    </w:p>
    <w:p>
      <w:pPr>
        <w:keepNext/>
        <w:spacing w:after="0" w:before="200" w:line="360" w:lineRule="auto"/>
        <w:jc w:val="center"/>
      </w:pPr>
      <w:r>
        <w:rPr>
          <w:rFonts w:ascii="Garamond" w:hAnsi="Garamond" w:eastAsia="Garamond" w:cs="Garamond"/>
          <w:b/>
          <w:i w:val="0"/>
          <w:sz w:val="24"/>
          <w:lang w:val="en-GB"/>
        </w:rPr>
        <w:t>TENTH CLAUSE</w:t>
      </w:r>
    </w:p>
    <w:p>
      <w:pPr>
        <w:keepNext/>
        <w:spacing w:after="200" w:before="0" w:line="360" w:lineRule="auto"/>
        <w:jc w:val="center"/>
      </w:pPr>
      <w:r>
        <w:rPr>
          <w:rFonts w:ascii="Garamond" w:hAnsi="Garamond" w:eastAsia="Garamond" w:cs="Garamond"/>
          <w:b/>
          <w:i w:val="0"/>
          <w:sz w:val="24"/>
          <w:lang w:val="en-GB"/>
        </w:rPr>
        <w:t>Efficiency of the Process and Repeated Requests</w:t>
      </w:r>
    </w:p>
    <w:p>
      <w:pPr>
        <w:spacing w:after="240" w:before="0" w:line="360" w:lineRule="auto"/>
        <w:jc w:val="both"/>
      </w:pPr>
      <w:r>
        <w:rPr>
          <w:rFonts w:ascii="Garamond" w:hAnsi="Garamond" w:eastAsia="Garamond" w:cs="Garamond"/>
          <w:b w:val="0"/>
          <w:i w:val="0"/>
          <w:sz w:val="24"/>
          <w:lang w:val="en-GB"/>
        </w:rPr>
        <w:t>1. The Client acknowledges that the efficient performance of the services requires organised communication, timely document submission and trust in the professional strategy defined by the Second Party.</w:t>
      </w:r>
    </w:p>
    <w:p>
      <w:pPr>
        <w:spacing w:after="240" w:before="0" w:line="360" w:lineRule="auto"/>
        <w:jc w:val="both"/>
      </w:pPr>
      <w:r>
        <w:rPr>
          <w:rFonts w:ascii="Garamond" w:hAnsi="Garamond" w:eastAsia="Garamond" w:cs="Garamond"/>
          <w:b w:val="0"/>
          <w:i w:val="0"/>
          <w:sz w:val="24"/>
          <w:lang w:val="en-GB"/>
        </w:rPr>
        <w:t>2. Repeated questioning of the same matters, refusal to follow reasonable instructions, repeated changes of direction or persistent requests for reassessment of matters already analysed may delay the process and may constitute additional work.</w:t>
      </w:r>
    </w:p>
    <w:p>
      <w:pPr>
        <w:spacing w:after="240" w:before="0" w:line="360" w:lineRule="auto"/>
        <w:jc w:val="both"/>
      </w:pPr>
      <w:r>
        <w:rPr>
          <w:rFonts w:ascii="Garamond" w:hAnsi="Garamond" w:eastAsia="Garamond" w:cs="Garamond"/>
          <w:b w:val="0"/>
          <w:i w:val="0"/>
          <w:sz w:val="24"/>
          <w:lang w:val="en-GB"/>
        </w:rPr>
        <w:t>3. Where the Client requests repeated reviews, additional explanations, new calls, revised strategies or work beyond the agreed scope, the Second Party may require payment of additional fees before continuing.</w:t>
      </w:r>
    </w:p>
    <w:p>
      <w:pPr>
        <w:keepNext/>
        <w:spacing w:after="0" w:before="200" w:line="360" w:lineRule="auto"/>
        <w:jc w:val="center"/>
      </w:pPr>
      <w:r>
        <w:rPr>
          <w:rFonts w:ascii="Garamond" w:hAnsi="Garamond" w:eastAsia="Garamond" w:cs="Garamond"/>
          <w:b/>
          <w:i w:val="0"/>
          <w:sz w:val="24"/>
          <w:lang w:val="en-GB"/>
        </w:rPr>
        <w:t>ELEVENTH CLAUSE</w:t>
      </w:r>
    </w:p>
    <w:p>
      <w:pPr>
        <w:keepNext/>
        <w:spacing w:after="200" w:before="0" w:line="360" w:lineRule="auto"/>
        <w:jc w:val="center"/>
      </w:pPr>
      <w:r>
        <w:rPr>
          <w:rFonts w:ascii="Garamond" w:hAnsi="Garamond" w:eastAsia="Garamond" w:cs="Garamond"/>
          <w:b/>
          <w:i w:val="0"/>
          <w:sz w:val="24"/>
          <w:lang w:val="en-GB"/>
        </w:rPr>
        <w:t>Phases of Service and Allocation of Fees</w:t>
      </w:r>
    </w:p>
    <w:p>
      <w:pPr>
        <w:spacing w:after="240" w:before="0" w:line="360" w:lineRule="auto"/>
        <w:jc w:val="both"/>
      </w:pPr>
      <w:r>
        <w:rPr>
          <w:rFonts w:ascii="Garamond" w:hAnsi="Garamond" w:eastAsia="Garamond" w:cs="Garamond"/>
          <w:b w:val="0"/>
          <w:i w:val="0"/>
          <w:sz w:val="24"/>
          <w:lang w:val="en-GB"/>
        </w:rPr>
        <w:t>1. For the purposes of fee allocation and of any withdrawal or termination under the Fifth Clause, the Client acknowledges that the contracted services are divided into the following phases, to which the parties allocate the following proportions of the total fee, agreed as reflecting the actual distribution of the work involved:</w:t>
      </w:r>
    </w:p>
    <w:p>
      <w:pPr>
        <w:spacing w:after="160" w:before="0" w:line="360" w:lineRule="auto"/>
        <w:ind w:left="504" w:hanging="504"/>
        <w:jc w:val="both"/>
      </w:pPr>
      <w:r>
        <w:rPr>
          <w:rFonts w:ascii="Garamond" w:hAnsi="Garamond" w:eastAsia="Garamond" w:cs="Garamond"/>
          <w:b w:val="0"/>
          <w:i w:val="0"/>
          <w:sz w:val="24"/>
          <w:lang w:val="en-GB"/>
        </w:rPr>
        <w:t xml:space="preserve">a) Onboarding, case opening, internal review and initial strategy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b) Preparation of the power of attorney and documentary checklist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c) Review of the documents provided and compliance pre-assessment — </w:t>
      </w:r>
      <w:r>
        <w:rPr>
          <w:rFonts w:ascii="Garamond" w:hAnsi="Garamond" w:eastAsia="Garamond" w:cs="Garamond"/>
          <w:b/>
          <w:i w:val="0"/>
          <w:sz w:val="24"/>
          <w:lang w:val="en-GB"/>
        </w:rPr>
        <w:t>20%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d) Approach to the banking institution and submission of the account opening file — </w:t>
      </w:r>
      <w:r>
        <w:rPr>
          <w:rFonts w:ascii="Garamond" w:hAnsi="Garamond" w:eastAsia="Garamond" w:cs="Garamond"/>
          <w:b/>
          <w:i w:val="0"/>
          <w:sz w:val="24"/>
          <w:lang w:val="en-GB"/>
        </w:rPr>
        <w:t>25%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e) Follow-up of the compliance review and response to requests for further information — </w:t>
      </w:r>
      <w:r>
        <w:rPr>
          <w:rFonts w:ascii="Garamond" w:hAnsi="Garamond" w:eastAsia="Garamond" w:cs="Garamond"/>
          <w:b/>
          <w:i w:val="0"/>
          <w:sz w:val="24"/>
          <w:lang w:val="en-GB"/>
        </w:rPr>
        <w:t>20%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f) Collection and transmission of account details, credentials and bank declarations — </w:t>
      </w:r>
      <w:r>
        <w:rPr>
          <w:rFonts w:ascii="Garamond" w:hAnsi="Garamond" w:eastAsia="Garamond" w:cs="Garamond"/>
          <w:b/>
          <w:i w:val="0"/>
          <w:sz w:val="24"/>
          <w:lang w:val="en-GB"/>
        </w:rPr>
        <w:t>5%</w:t>
      </w:r>
      <w:r>
        <w:rPr>
          <w:rFonts w:ascii="Garamond" w:hAnsi="Garamond" w:eastAsia="Garamond" w:cs="Garamond"/>
          <w:b w:val="0"/>
          <w:i w:val="0"/>
          <w:sz w:val="24"/>
          <w:lang w:val="en-GB"/>
        </w:rPr>
        <w:t>.</w:t>
      </w:r>
    </w:p>
    <w:p>
      <w:pPr>
        <w:spacing w:after="240" w:before="0" w:line="360" w:lineRule="auto"/>
        <w:jc w:val="both"/>
      </w:pPr>
      <w:r>
        <w:rPr>
          <w:rFonts w:ascii="Garamond" w:hAnsi="Garamond" w:eastAsia="Garamond" w:cs="Garamond"/>
          <w:b w:val="0"/>
          <w:i w:val="0"/>
          <w:sz w:val="24"/>
          <w:lang w:val="en-GB"/>
        </w:rPr>
        <w:t>2. Each phase shall be considered initiated once the Second Party begins internal or external work related to it, including analysis, communications, document review, preparation, coordination, submission attempts or correspondence with third parties.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Fees corresponding to phases initiated or completed shall not be refundable.</w:t>
      </w:r>
    </w:p>
    <w:p>
      <w:pPr>
        <w:keepNext/>
        <w:spacing w:after="0" w:before="200" w:line="360" w:lineRule="auto"/>
        <w:jc w:val="center"/>
      </w:pPr>
      <w:r>
        <w:rPr>
          <w:rFonts w:ascii="Garamond" w:hAnsi="Garamond" w:eastAsia="Garamond" w:cs="Garamond"/>
          <w:b/>
          <w:i w:val="0"/>
          <w:sz w:val="24"/>
          <w:lang w:val="en-GB"/>
        </w:rPr>
        <w:t>TWELFTH CLAUSE</w:t>
      </w:r>
    </w:p>
    <w:p>
      <w:pPr>
        <w:keepNext/>
        <w:spacing w:after="200" w:before="0" w:line="360" w:lineRule="auto"/>
        <w:jc w:val="center"/>
      </w:pPr>
      <w:r>
        <w:rPr>
          <w:rFonts w:ascii="Garamond" w:hAnsi="Garamond" w:eastAsia="Garamond" w:cs="Garamond"/>
          <w:b/>
          <w:i w:val="0"/>
          <w:sz w:val="24"/>
          <w:lang w:val="en-GB"/>
        </w:rPr>
        <w:t>Refusals, Resubmissions and Additional Work</w:t>
      </w:r>
    </w:p>
    <w:p>
      <w:pPr>
        <w:spacing w:after="240" w:before="0" w:line="360" w:lineRule="auto"/>
        <w:jc w:val="both"/>
      </w:pPr>
      <w:r>
        <w:rPr>
          <w:rFonts w:ascii="Garamond" w:hAnsi="Garamond" w:eastAsia="Garamond" w:cs="Garamond"/>
          <w:b w:val="0"/>
          <w:i w:val="0"/>
          <w:sz w:val="24"/>
          <w:lang w:val="en-GB"/>
        </w:rPr>
        <w:t>1. In the event of a refusal, rejection, request for resubmission, need for an appeal, administrative complaint, judicial action, new application or additional strategy following an unfavourable decision, such work shall not be included in the original fee unless expressly stated in this contract.</w:t>
      </w:r>
    </w:p>
    <w:p>
      <w:pPr>
        <w:spacing w:after="240" w:before="0" w:line="360" w:lineRule="auto"/>
        <w:jc w:val="both"/>
      </w:pPr>
      <w:r>
        <w:rPr>
          <w:rFonts w:ascii="Garamond" w:hAnsi="Garamond" w:eastAsia="Garamond" w:cs="Garamond"/>
          <w:b w:val="0"/>
          <w:i w:val="0"/>
          <w:sz w:val="24"/>
          <w:lang w:val="en-GB"/>
        </w:rPr>
        <w:t>2. Any such additional work shall be subject to a separate quotation and separate engagement.</w:t>
      </w:r>
    </w:p>
    <w:p>
      <w:pPr>
        <w:spacing w:after="240" w:before="0" w:line="360" w:lineRule="auto"/>
        <w:jc w:val="both"/>
      </w:pPr>
      <w:r>
        <w:rPr>
          <w:rFonts w:ascii="Garamond" w:hAnsi="Garamond" w:eastAsia="Garamond" w:cs="Garamond"/>
          <w:b w:val="0"/>
          <w:i w:val="0"/>
          <w:sz w:val="24"/>
          <w:lang w:val="en-GB"/>
        </w:rPr>
        <w:t>3. The Second Party shall not be required to submit a new application, repeat the process or carry out additional work free of charge merely because the Client is dissatisfied with the outcome, the processing time, the decision of the competent entity or the requirements imposed by third parties.</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A refusal or unfavourable decision shall not, by itself, constitute evidence that the Second Party failed to perform the services with diligence</w:t>
      </w:r>
      <w:r>
        <w:rPr>
          <w:rFonts w:ascii="Garamond" w:hAnsi="Garamond" w:eastAsia="Garamond" w:cs="Garamond"/>
          <w:b w:val="0"/>
          <w:i w:val="0"/>
          <w:sz w:val="24"/>
          <w:lang w:val="en-GB"/>
        </w:rPr>
        <w:t>, given the obligation of means assumed.</w:t>
      </w:r>
    </w:p>
    <w:p>
      <w:pPr>
        <w:spacing w:after="240" w:before="0" w:line="360" w:lineRule="auto"/>
        <w:jc w:val="both"/>
      </w:pPr>
      <w:r>
        <w:rPr>
          <w:rFonts w:ascii="Garamond" w:hAnsi="Garamond" w:eastAsia="Garamond" w:cs="Garamond"/>
          <w:b w:val="0"/>
          <w:i w:val="0"/>
          <w:sz w:val="24"/>
          <w:lang w:val="en-GB"/>
        </w:rPr>
        <w:t>5. Nothing in this clause excludes liability where a refusal or damage is caused exclusively and directly by proven wilful misconduct or gross negligence of the Second Party, in accordance with applicable law.</w:t>
      </w:r>
    </w:p>
    <w:p>
      <w:pPr>
        <w:keepNext/>
        <w:spacing w:after="0" w:before="200" w:line="360" w:lineRule="auto"/>
        <w:jc w:val="center"/>
      </w:pPr>
      <w:r>
        <w:rPr>
          <w:rFonts w:ascii="Garamond" w:hAnsi="Garamond" w:eastAsia="Garamond" w:cs="Garamond"/>
          <w:b/>
          <w:i w:val="0"/>
          <w:sz w:val="24"/>
          <w:lang w:val="en-GB"/>
        </w:rPr>
        <w:t>THIRTEENTH CLAUSE</w:t>
      </w:r>
    </w:p>
    <w:p>
      <w:pPr>
        <w:keepNext/>
        <w:spacing w:after="200" w:before="0" w:line="360" w:lineRule="auto"/>
        <w:jc w:val="center"/>
      </w:pPr>
      <w:r>
        <w:rPr>
          <w:rFonts w:ascii="Garamond" w:hAnsi="Garamond" w:eastAsia="Garamond" w:cs="Garamond"/>
          <w:b/>
          <w:i w:val="0"/>
          <w:sz w:val="24"/>
          <w:lang w:val="en-GB"/>
        </w:rPr>
        <w:t>Termination and Refunds</w:t>
      </w:r>
    </w:p>
    <w:p>
      <w:pPr>
        <w:spacing w:after="240" w:before="0" w:line="360" w:lineRule="auto"/>
        <w:jc w:val="both"/>
      </w:pPr>
      <w:r>
        <w:rPr>
          <w:rFonts w:ascii="Garamond" w:hAnsi="Garamond" w:eastAsia="Garamond" w:cs="Garamond"/>
          <w:b w:val="0"/>
          <w:i w:val="0"/>
          <w:sz w:val="24"/>
          <w:lang w:val="en-GB"/>
        </w:rPr>
        <w:t>1. The Client may terminate this contract by written notice sent by email to the address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Once this contract has entered into force and the Second Party has commenced the provision of services, the fees paid shall not be refundable</w:t>
      </w:r>
      <w:r>
        <w:rPr>
          <w:rFonts w:ascii="Garamond" w:hAnsi="Garamond" w:eastAsia="Garamond" w:cs="Garamond"/>
          <w:b w:val="0"/>
          <w:i w:val="0"/>
          <w:sz w:val="24"/>
          <w:lang w:val="en-GB"/>
        </w:rPr>
        <w:t xml:space="preserve"> in relation to any work already performed, phase initiated, time allocated, internal analysis carried out, documents prepared, communications exchanged, third-party coordination undertaken or administrative steps started.</w:t>
      </w:r>
    </w:p>
    <w:p>
      <w:pPr>
        <w:spacing w:after="240" w:before="0" w:line="360" w:lineRule="auto"/>
        <w:jc w:val="both"/>
      </w:pPr>
      <w:r>
        <w:rPr>
          <w:rFonts w:ascii="Garamond" w:hAnsi="Garamond" w:eastAsia="Garamond" w:cs="Garamond"/>
          <w:b w:val="0"/>
          <w:i w:val="0"/>
          <w:sz w:val="24"/>
          <w:lang w:val="en-GB"/>
        </w:rPr>
        <w:t>3. The Client expressly acknowledges that the services are not limited to the final submission of an application or to the visible outcome of a specific step. Case analysis, document review, strategic planning, checklist preparation, internal organisation, coordination with the competent entities and communication with the Client all constitute professional services fully rendered.</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on the grounds that the application has not yet been submitted, that the NIF has not yet been assigned, that the account has not yet been opened, that a decision has not yet been issued, or that the Client has not provided the documents or cooperation required</w:t>
      </w:r>
      <w:r>
        <w:rPr>
          <w:rFonts w:ascii="Garamond" w:hAnsi="Garamond" w:eastAsia="Garamond" w:cs="Garamond"/>
          <w:b w:val="0"/>
          <w:i w:val="0"/>
          <w:sz w:val="24"/>
          <w:lang w:val="en-GB"/>
        </w:rPr>
        <w:t xml:space="preserve"> for the continuation of the process.</w:t>
      </w:r>
    </w:p>
    <w:p>
      <w:pPr>
        <w:spacing w:after="240" w:before="0" w:line="360" w:lineRule="auto"/>
        <w:jc w:val="both"/>
      </w:pPr>
      <w:r>
        <w:rPr>
          <w:rFonts w:ascii="Garamond" w:hAnsi="Garamond" w:eastAsia="Garamond" w:cs="Garamond"/>
          <w:b w:val="0"/>
          <w:i w:val="0"/>
          <w:sz w:val="24"/>
          <w:lang w:val="en-GB"/>
        </w:rPr>
        <w:t>5. Where termination is requested by the Client before completion of the services, the Second Party shall be entitled to retain the amounts corresponding to all services already initiated or performed, without prejudice to the right to charge any outstanding amounts, expenses, third-party fees or additional work already incurred.</w:t>
      </w:r>
    </w:p>
    <w:p>
      <w:pPr>
        <w:spacing w:after="240" w:before="0" w:line="360" w:lineRule="auto"/>
        <w:jc w:val="both"/>
      </w:pPr>
      <w:r>
        <w:rPr>
          <w:rFonts w:ascii="Garamond" w:hAnsi="Garamond" w:eastAsia="Garamond" w:cs="Garamond"/>
          <w:b w:val="0"/>
          <w:i w:val="0"/>
          <w:sz w:val="24"/>
          <w:lang w:val="en-GB"/>
        </w:rPr>
        <w:t>6. The Second Party may terminate this contract immediately, without any obligation to refund fees corresponding to work already commenced or performed, in the event of breach of trust, abusive conduct, repeated unreasonable demands, persistent lack of cooperation, non-payment, provision of false or inconsistent information, refusal to provide documents, or conduct that makes the continuation of the professional relationship unreasonable or incompatible with the applicable ethical and professional duties.</w:t>
      </w:r>
    </w:p>
    <w:p>
      <w:pPr>
        <w:keepNext/>
        <w:spacing w:after="0" w:before="200" w:line="360" w:lineRule="auto"/>
        <w:jc w:val="center"/>
      </w:pPr>
      <w:r>
        <w:rPr>
          <w:rFonts w:ascii="Garamond" w:hAnsi="Garamond" w:eastAsia="Garamond" w:cs="Garamond"/>
          <w:b/>
          <w:i w:val="0"/>
          <w:sz w:val="24"/>
          <w:lang w:val="en-GB"/>
        </w:rPr>
        <w:t>FOURTEENTH CLAUSE</w:t>
      </w:r>
    </w:p>
    <w:p>
      <w:pPr>
        <w:keepNext/>
        <w:spacing w:after="200" w:before="0" w:line="360" w:lineRule="auto"/>
        <w:jc w:val="center"/>
      </w:pPr>
      <w:r>
        <w:rPr>
          <w:rFonts w:ascii="Garamond" w:hAnsi="Garamond" w:eastAsia="Garamond" w:cs="Garamond"/>
          <w:b/>
          <w:i w:val="0"/>
          <w:sz w:val="24"/>
          <w:lang w:val="en-GB"/>
        </w:rPr>
        <w:t>Payment Disputes and Chargebacks</w:t>
      </w:r>
    </w:p>
    <w:p>
      <w:pPr>
        <w:spacing w:after="240" w:before="0" w:line="360" w:lineRule="auto"/>
        <w:jc w:val="both"/>
      </w:pPr>
      <w:r>
        <w:rPr>
          <w:rFonts w:ascii="Garamond" w:hAnsi="Garamond" w:eastAsia="Garamond" w:cs="Garamond"/>
          <w:b w:val="0"/>
          <w:i w:val="0"/>
          <w:sz w:val="24"/>
          <w:lang w:val="en-GB"/>
        </w:rPr>
        <w:t>1. The Client agrees that any concern regarding the services, fees or performance of this contract shall first be submitted in writing to the Second Party, allowing a reasonable opportunity for review and clarification.</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Client shall not initiate chargebacks, payment disputes or reversal requests</w:t>
      </w:r>
      <w:r>
        <w:rPr>
          <w:rFonts w:ascii="Garamond" w:hAnsi="Garamond" w:eastAsia="Garamond" w:cs="Garamond"/>
          <w:b w:val="0"/>
          <w:i w:val="0"/>
          <w:sz w:val="24"/>
          <w:lang w:val="en-GB"/>
        </w:rPr>
        <w:t xml:space="preserve"> without first notifying the Second Party in writing and allowing the matter to be addressed in good faith.</w:t>
      </w:r>
    </w:p>
    <w:p>
      <w:pPr>
        <w:spacing w:after="240" w:before="0" w:line="360" w:lineRule="auto"/>
        <w:jc w:val="both"/>
      </w:pPr>
      <w:r>
        <w:rPr>
          <w:rFonts w:ascii="Garamond" w:hAnsi="Garamond" w:eastAsia="Garamond" w:cs="Garamond"/>
          <w:b w:val="0"/>
          <w:i w:val="0"/>
          <w:sz w:val="24"/>
          <w:lang w:val="en-GB"/>
        </w:rPr>
        <w:t>3. If a chargeback or payment dispute is initiated after the services have commenced or after any phase has been performed, the Second Party reserves the right to suspend all services immediately and to claim any bank fees, administrative costs, legal costs or damages resulting from such dispute, without prejudice to any other rights available under applicable law.</w:t>
      </w:r>
    </w:p>
    <w:p>
      <w:pPr>
        <w:keepNext/>
        <w:spacing w:after="0" w:before="200" w:line="360" w:lineRule="auto"/>
        <w:jc w:val="center"/>
      </w:pPr>
      <w:r>
        <w:rPr>
          <w:rFonts w:ascii="Garamond" w:hAnsi="Garamond" w:eastAsia="Garamond" w:cs="Garamond"/>
          <w:b/>
          <w:i w:val="0"/>
          <w:sz w:val="24"/>
          <w:lang w:val="en-GB"/>
        </w:rPr>
        <w:t>FIFTEENTH CLAUSE</w:t>
      </w:r>
    </w:p>
    <w:p>
      <w:pPr>
        <w:keepNext/>
        <w:spacing w:after="200" w:before="0" w:line="360" w:lineRule="auto"/>
        <w:jc w:val="center"/>
      </w:pPr>
      <w:r>
        <w:rPr>
          <w:rFonts w:ascii="Garamond" w:hAnsi="Garamond" w:eastAsia="Garamond" w:cs="Garamond"/>
          <w:b/>
          <w:i w:val="0"/>
          <w:sz w:val="24"/>
          <w:lang w:val="en-GB"/>
        </w:rPr>
        <w:t>Client Acknowledgement</w:t>
      </w:r>
    </w:p>
    <w:p>
      <w:pPr>
        <w:spacing w:after="240" w:before="0" w:line="360" w:lineRule="auto"/>
        <w:jc w:val="both"/>
      </w:pPr>
      <w:r>
        <w:rPr>
          <w:rFonts w:ascii="Garamond" w:hAnsi="Garamond" w:eastAsia="Garamond" w:cs="Garamond"/>
          <w:b w:val="0"/>
          <w:i w:val="0"/>
          <w:sz w:val="24"/>
          <w:lang w:val="en-GB"/>
        </w:rPr>
        <w:t>By signing this contract, the Client expressly acknowledges that:</w:t>
      </w:r>
    </w:p>
    <w:p>
      <w:pPr>
        <w:spacing w:after="160" w:before="0" w:line="360" w:lineRule="auto"/>
        <w:ind w:left="504" w:hanging="504"/>
        <w:jc w:val="both"/>
      </w:pPr>
      <w:r>
        <w:rPr>
          <w:rFonts w:ascii="Garamond" w:hAnsi="Garamond" w:eastAsia="Garamond" w:cs="Garamond"/>
          <w:b w:val="0"/>
          <w:i w:val="0"/>
          <w:sz w:val="24"/>
          <w:lang w:val="en-GB"/>
        </w:rPr>
        <w:t xml:space="preserve">a) </w:t>
      </w:r>
      <w:r>
        <w:rPr>
          <w:rFonts w:ascii="Garamond" w:hAnsi="Garamond" w:eastAsia="Garamond" w:cs="Garamond"/>
          <w:b/>
          <w:i w:val="0"/>
          <w:sz w:val="24"/>
          <w:lang w:val="en-GB"/>
        </w:rPr>
        <w:t>The contracted services constitute an obligation of means and not an obligation of result;</w:t>
      </w:r>
    </w:p>
    <w:p>
      <w:pPr>
        <w:spacing w:after="160" w:before="0" w:line="360" w:lineRule="auto"/>
        <w:ind w:left="504" w:hanging="504"/>
        <w:jc w:val="both"/>
      </w:pPr>
      <w:r>
        <w:rPr>
          <w:rFonts w:ascii="Garamond" w:hAnsi="Garamond" w:eastAsia="Garamond" w:cs="Garamond"/>
          <w:b w:val="0"/>
          <w:i w:val="0"/>
          <w:sz w:val="24"/>
          <w:lang w:val="en-GB"/>
        </w:rPr>
        <w:t>b) The services shall commence immediately upon payment confirmation, at the Client’s express request made in Annex I, before the end of the withdrawal period;</w:t>
      </w:r>
    </w:p>
    <w:p>
      <w:pPr>
        <w:spacing w:after="160" w:before="0" w:line="360" w:lineRule="auto"/>
        <w:ind w:left="504" w:hanging="504"/>
        <w:jc w:val="both"/>
      </w:pPr>
      <w:r>
        <w:rPr>
          <w:rFonts w:ascii="Garamond" w:hAnsi="Garamond" w:eastAsia="Garamond" w:cs="Garamond"/>
          <w:b w:val="0"/>
          <w:i w:val="0"/>
          <w:sz w:val="24"/>
          <w:lang w:val="en-GB"/>
        </w:rPr>
        <w:t xml:space="preserve">c) </w:t>
      </w:r>
      <w:r>
        <w:rPr>
          <w:rFonts w:ascii="Garamond" w:hAnsi="Garamond" w:eastAsia="Garamond" w:cs="Garamond"/>
          <w:b/>
          <w:i w:val="0"/>
          <w:sz w:val="24"/>
          <w:lang w:val="en-GB"/>
        </w:rPr>
        <w:t>Once the services have been fully performed with that prior express consent, the right of withdrawal is lost, under Article 17(1)(a) of Decree-Law no. 24/2014;</w:t>
      </w:r>
    </w:p>
    <w:p>
      <w:pPr>
        <w:spacing w:after="160" w:before="0" w:line="360" w:lineRule="auto"/>
        <w:ind w:left="504" w:hanging="504"/>
        <w:jc w:val="both"/>
      </w:pPr>
      <w:r>
        <w:rPr>
          <w:rFonts w:ascii="Garamond" w:hAnsi="Garamond" w:eastAsia="Garamond" w:cs="Garamond"/>
          <w:b w:val="0"/>
          <w:i w:val="0"/>
          <w:sz w:val="24"/>
          <w:lang w:val="en-GB"/>
        </w:rPr>
        <w:t xml:space="preserve">d) </w:t>
      </w:r>
      <w:r>
        <w:rPr>
          <w:rFonts w:ascii="Garamond" w:hAnsi="Garamond" w:eastAsia="Garamond" w:cs="Garamond"/>
          <w:b/>
          <w:i w:val="0"/>
          <w:sz w:val="24"/>
          <w:lang w:val="en-GB"/>
        </w:rPr>
        <w:t>If the Client withdraws after the services have begun, the Client shall pay the amount proportional to the phases already initiated or completed, under Article 15(2) of the same Decree-Law;</w:t>
      </w:r>
    </w:p>
    <w:p>
      <w:pPr>
        <w:spacing w:after="160" w:before="0" w:line="360" w:lineRule="auto"/>
        <w:ind w:left="504" w:hanging="504"/>
        <w:jc w:val="both"/>
      </w:pPr>
      <w:r>
        <w:rPr>
          <w:rFonts w:ascii="Garamond" w:hAnsi="Garamond" w:eastAsia="Garamond" w:cs="Garamond"/>
          <w:b w:val="0"/>
          <w:i w:val="0"/>
          <w:sz w:val="24"/>
          <w:lang w:val="en-GB"/>
        </w:rPr>
        <w:t>e) The opening of the account depends exclusively on the banking institution’s compliance review and final decision, and a refusal by the bank does not entitle the Client to a refund;</w:t>
      </w:r>
    </w:p>
    <w:p>
      <w:pPr>
        <w:spacing w:after="160" w:before="0" w:line="360" w:lineRule="auto"/>
        <w:ind w:left="504" w:hanging="504"/>
        <w:jc w:val="both"/>
      </w:pPr>
      <w:r>
        <w:rPr>
          <w:rFonts w:ascii="Garamond" w:hAnsi="Garamond" w:eastAsia="Garamond" w:cs="Garamond"/>
          <w:b w:val="0"/>
          <w:i w:val="0"/>
          <w:sz w:val="24"/>
          <w:lang w:val="en-GB"/>
        </w:rPr>
        <w:t>f) The fee is due for the professional work performed and is not conditional upon success;</w:t>
      </w:r>
    </w:p>
    <w:p>
      <w:pPr>
        <w:spacing w:after="160" w:before="0" w:line="360" w:lineRule="auto"/>
        <w:ind w:left="504" w:hanging="504"/>
        <w:jc w:val="both"/>
      </w:pPr>
      <w:r>
        <w:rPr>
          <w:rFonts w:ascii="Garamond" w:hAnsi="Garamond" w:eastAsia="Garamond" w:cs="Garamond"/>
          <w:b w:val="0"/>
          <w:i w:val="0"/>
          <w:sz w:val="24"/>
          <w:lang w:val="en-GB"/>
        </w:rPr>
        <w:t xml:space="preserve">g) </w:t>
      </w:r>
      <w:r>
        <w:rPr>
          <w:rFonts w:ascii="Garamond" w:hAnsi="Garamond" w:eastAsia="Garamond" w:cs="Garamond"/>
          <w:b/>
          <w:i w:val="0"/>
          <w:sz w:val="24"/>
          <w:lang w:val="en-GB"/>
        </w:rPr>
        <w:t>No refund is due in respect of work already initiated or performed, or of phases already commenced;</w:t>
      </w:r>
    </w:p>
    <w:p>
      <w:pPr>
        <w:spacing w:after="160" w:before="0" w:line="360" w:lineRule="auto"/>
        <w:ind w:left="504" w:hanging="504"/>
        <w:jc w:val="both"/>
      </w:pPr>
      <w:r>
        <w:rPr>
          <w:rFonts w:ascii="Garamond" w:hAnsi="Garamond" w:eastAsia="Garamond" w:cs="Garamond"/>
          <w:b w:val="0"/>
          <w:i w:val="0"/>
          <w:sz w:val="24"/>
          <w:lang w:val="en-GB"/>
        </w:rPr>
        <w:t>h) A refusal, delay, request for additional documents or unfavourable decision by any authority or third party does not entitle the Client to a refund;</w:t>
      </w:r>
    </w:p>
    <w:p>
      <w:pPr>
        <w:spacing w:after="160" w:before="0" w:line="360" w:lineRule="auto"/>
        <w:ind w:left="504" w:hanging="504"/>
        <w:jc w:val="both"/>
      </w:pPr>
      <w:r>
        <w:rPr>
          <w:rFonts w:ascii="Garamond" w:hAnsi="Garamond" w:eastAsia="Garamond" w:cs="Garamond"/>
          <w:b w:val="0"/>
          <w:i w:val="0"/>
          <w:sz w:val="24"/>
          <w:lang w:val="en-GB"/>
        </w:rPr>
        <w:t>i) Any appeal, resubmission, new application or additional work after a refusal requires a separate quotation and engagement;</w:t>
      </w:r>
    </w:p>
    <w:p>
      <w:pPr>
        <w:spacing w:after="160" w:before="0" w:line="360" w:lineRule="auto"/>
        <w:ind w:left="504" w:hanging="504"/>
        <w:jc w:val="both"/>
      </w:pPr>
      <w:r>
        <w:rPr>
          <w:rFonts w:ascii="Garamond" w:hAnsi="Garamond" w:eastAsia="Garamond" w:cs="Garamond"/>
          <w:b w:val="0"/>
          <w:i w:val="0"/>
          <w:sz w:val="24"/>
          <w:lang w:val="en-GB"/>
        </w:rPr>
        <w:t>j) The progress of the process depends on the Client’s timely cooperation and document submission;</w:t>
      </w:r>
    </w:p>
    <w:p>
      <w:pPr>
        <w:spacing w:after="160" w:before="0" w:line="360" w:lineRule="auto"/>
        <w:ind w:left="504" w:hanging="504"/>
        <w:jc w:val="both"/>
      </w:pPr>
      <w:r>
        <w:rPr>
          <w:rFonts w:ascii="Garamond" w:hAnsi="Garamond" w:eastAsia="Garamond" w:cs="Garamond"/>
          <w:b w:val="0"/>
          <w:i w:val="0"/>
          <w:sz w:val="24"/>
          <w:lang w:val="en-GB"/>
        </w:rPr>
        <w:t>k) Excessive communications, repeated meetings or work outside the agreed scope may be charged separately;</w:t>
      </w:r>
    </w:p>
    <w:p>
      <w:pPr>
        <w:spacing w:after="160" w:before="0" w:line="360" w:lineRule="auto"/>
        <w:ind w:left="504" w:hanging="504"/>
        <w:jc w:val="both"/>
      </w:pPr>
      <w:r>
        <w:rPr>
          <w:rFonts w:ascii="Garamond" w:hAnsi="Garamond" w:eastAsia="Garamond" w:cs="Garamond"/>
          <w:b w:val="0"/>
          <w:i w:val="0"/>
          <w:sz w:val="24"/>
          <w:lang w:val="en-GB"/>
        </w:rPr>
        <w:t>l) Lack of cooperation may lead to suspension or termination of the services without refund of fees already earned;</w:t>
      </w:r>
    </w:p>
    <w:p>
      <w:pPr>
        <w:spacing w:after="160" w:before="0" w:line="360" w:lineRule="auto"/>
        <w:ind w:left="504" w:hanging="504"/>
        <w:jc w:val="both"/>
      </w:pPr>
      <w:r>
        <w:rPr>
          <w:rFonts w:ascii="Garamond" w:hAnsi="Garamond" w:eastAsia="Garamond" w:cs="Garamond"/>
          <w:b w:val="0"/>
          <w:i w:val="0"/>
          <w:sz w:val="24"/>
          <w:lang w:val="en-GB"/>
        </w:rPr>
        <w:t>m) Revocation of the power of attorney terminates the service without entitling the Client to a refund.</w:t>
      </w:r>
    </w:p>
    <w:p>
      <w:pPr>
        <w:keepNext/>
        <w:spacing w:after="0" w:before="200" w:line="360" w:lineRule="auto"/>
        <w:jc w:val="center"/>
      </w:pPr>
      <w:r>
        <w:rPr>
          <w:rFonts w:ascii="Garamond" w:hAnsi="Garamond" w:eastAsia="Garamond" w:cs="Garamond"/>
          <w:b/>
          <w:i w:val="0"/>
          <w:sz w:val="24"/>
          <w:lang w:val="en-GB"/>
        </w:rPr>
        <w:t>SIXTEENTH CLAUSE</w:t>
      </w:r>
    </w:p>
    <w:p>
      <w:pPr>
        <w:keepNext/>
        <w:spacing w:after="200" w:before="0" w:line="360" w:lineRule="auto"/>
        <w:jc w:val="center"/>
      </w:pPr>
      <w:r>
        <w:rPr>
          <w:rFonts w:ascii="Garamond" w:hAnsi="Garamond" w:eastAsia="Garamond" w:cs="Garamond"/>
          <w:b/>
          <w:i w:val="0"/>
          <w:sz w:val="24"/>
          <w:lang w:val="en-GB"/>
        </w:rPr>
        <w:t>Confidentiality and Data Protection</w:t>
      </w:r>
    </w:p>
    <w:p>
      <w:pPr>
        <w:spacing w:after="240" w:before="0" w:line="360" w:lineRule="auto"/>
        <w:jc w:val="both"/>
      </w:pPr>
      <w:r>
        <w:rPr>
          <w:rFonts w:ascii="Garamond" w:hAnsi="Garamond" w:eastAsia="Garamond" w:cs="Garamond"/>
          <w:b w:val="0"/>
          <w:i w:val="0"/>
          <w:sz w:val="24"/>
          <w:lang w:val="en-GB"/>
        </w:rPr>
        <w:t>1. The Second Party and the Attorney acting on its behalf are bound by professional confidentiality in respect of the information and documents to which they have access under this contract.</w:t>
      </w:r>
    </w:p>
    <w:p>
      <w:pPr>
        <w:spacing w:after="240" w:before="0" w:line="360" w:lineRule="auto"/>
        <w:jc w:val="both"/>
      </w:pPr>
      <w:r>
        <w:rPr>
          <w:rFonts w:ascii="Garamond" w:hAnsi="Garamond" w:eastAsia="Garamond" w:cs="Garamond"/>
          <w:b w:val="0"/>
          <w:i w:val="0"/>
          <w:sz w:val="24"/>
          <w:lang w:val="en-GB"/>
        </w:rPr>
        <w:t>2. The Client expressly authorises the processing, storage and use of the Client’s personal data and documents strictly for the purposes of performing this contract, in accordance with the General Data Protection Regulation and other applicable legislation, including their transmission to the Tax and Customs Authority, to banking institutions and to any other entity strictly necessary for the performance of the services.</w:t>
      </w:r>
    </w:p>
    <w:p>
      <w:pPr>
        <w:spacing w:after="240" w:before="0" w:line="360" w:lineRule="auto"/>
        <w:jc w:val="both"/>
      </w:pPr>
      <w:r>
        <w:rPr>
          <w:rFonts w:ascii="Garamond" w:hAnsi="Garamond" w:eastAsia="Garamond" w:cs="Garamond"/>
          <w:b w:val="0"/>
          <w:i w:val="0"/>
          <w:sz w:val="24"/>
          <w:lang w:val="en-GB"/>
        </w:rPr>
        <w:t>3. The Second Party shall retain the documentation for the period necessary to perform the services and to comply with its legal, tax, professional and deontological obligations.</w:t>
      </w:r>
    </w:p>
    <w:p>
      <w:pPr>
        <w:keepNext/>
        <w:spacing w:after="0" w:before="200" w:line="360" w:lineRule="auto"/>
        <w:jc w:val="center"/>
      </w:pPr>
      <w:r>
        <w:rPr>
          <w:rFonts w:ascii="Garamond" w:hAnsi="Garamond" w:eastAsia="Garamond" w:cs="Garamond"/>
          <w:b/>
          <w:i w:val="0"/>
          <w:sz w:val="24"/>
          <w:lang w:val="en-GB"/>
        </w:rPr>
        <w:t>SEVENTEENTH CLAUSE</w:t>
      </w:r>
    </w:p>
    <w:p>
      <w:pPr>
        <w:keepNext/>
        <w:spacing w:after="200" w:before="0" w:line="360" w:lineRule="auto"/>
        <w:jc w:val="center"/>
      </w:pPr>
      <w:r>
        <w:rPr>
          <w:rFonts w:ascii="Garamond" w:hAnsi="Garamond" w:eastAsia="Garamond" w:cs="Garamond"/>
          <w:b/>
          <w:i w:val="0"/>
          <w:sz w:val="24"/>
          <w:lang w:val="en-GB"/>
        </w:rPr>
        <w:t>Final Provisions, Interpretation and Dispute Resolution</w:t>
      </w:r>
    </w:p>
    <w:p>
      <w:pPr>
        <w:spacing w:after="240" w:before="0" w:line="360" w:lineRule="auto"/>
        <w:jc w:val="both"/>
      </w:pPr>
      <w:r>
        <w:rPr>
          <w:rFonts w:ascii="Garamond" w:hAnsi="Garamond" w:eastAsia="Garamond" w:cs="Garamond"/>
          <w:b w:val="0"/>
          <w:i w:val="0"/>
          <w:sz w:val="24"/>
          <w:lang w:val="en-GB"/>
        </w:rPr>
        <w:t>1. This contract represents the entire agreement between the parties on its subject matter and supersedes any prior understanding, communication or agreement, whether verbal or written.</w:t>
      </w:r>
    </w:p>
    <w:p>
      <w:pPr>
        <w:spacing w:after="240" w:before="0" w:line="360" w:lineRule="auto"/>
        <w:jc w:val="both"/>
      </w:pPr>
      <w:r>
        <w:rPr>
          <w:rFonts w:ascii="Garamond" w:hAnsi="Garamond" w:eastAsia="Garamond" w:cs="Garamond"/>
          <w:b w:val="0"/>
          <w:i w:val="0"/>
          <w:sz w:val="24"/>
          <w:lang w:val="en-GB"/>
        </w:rPr>
        <w:t>2. Any amendment shall only be valid if made in writing and accepted by both parties.</w:t>
      </w:r>
    </w:p>
    <w:p>
      <w:pPr>
        <w:spacing w:after="240" w:before="0" w:line="360" w:lineRule="auto"/>
        <w:jc w:val="both"/>
      </w:pPr>
      <w:r>
        <w:rPr>
          <w:rFonts w:ascii="Garamond" w:hAnsi="Garamond" w:eastAsia="Garamond" w:cs="Garamond"/>
          <w:b w:val="0"/>
          <w:i w:val="0"/>
          <w:sz w:val="24"/>
          <w:lang w:val="en-GB"/>
        </w:rPr>
        <w:t>3. The invalidity or unenforceability of any clause shall not affect the remaining clauses, which shall remain in force, and the invalid clause shall be replaced by another that best reflects the parties’ original intention within the limits of applicable law.</w:t>
      </w:r>
    </w:p>
    <w:p>
      <w:pPr>
        <w:spacing w:after="240" w:before="0" w:line="360" w:lineRule="auto"/>
        <w:jc w:val="both"/>
      </w:pPr>
      <w:r>
        <w:rPr>
          <w:rFonts w:ascii="Garamond" w:hAnsi="Garamond" w:eastAsia="Garamond" w:cs="Garamond"/>
          <w:b w:val="0"/>
          <w:i w:val="0"/>
          <w:sz w:val="24"/>
          <w:lang w:val="en-GB"/>
        </w:rPr>
        <w:t>4. The parties undertake to resolve in good faith any doubts, gaps or difficulties of interpretation arising from the execution of this contract.</w:t>
      </w:r>
    </w:p>
    <w:p>
      <w:pPr>
        <w:spacing w:after="240" w:before="0" w:line="360" w:lineRule="auto"/>
        <w:jc w:val="both"/>
      </w:pPr>
      <w:r>
        <w:rPr>
          <w:rFonts w:ascii="Garamond" w:hAnsi="Garamond" w:eastAsia="Garamond" w:cs="Garamond"/>
          <w:b w:val="0"/>
          <w:i w:val="0"/>
          <w:sz w:val="24"/>
          <w:lang w:val="en-GB"/>
        </w:rPr>
        <w:t>5. Where the above is not possible, the parties agree that the Judicial Court of the District of Lisbon shall be competent, without prejudice to any mandatory rules of territorial jurisdiction or of consumer protection that may be applicable.</w:t>
      </w:r>
    </w:p>
    <w:p>
      <w:pPr>
        <w:spacing w:after="240" w:before="280" w:line="360" w:lineRule="auto"/>
        <w:jc w:val="center"/>
      </w:pPr>
      <w:r>
        <w:rPr>
          <w:rFonts w:ascii="Garamond" w:hAnsi="Garamond" w:eastAsia="Garamond" w:cs="Garamond"/>
          <w:b w:val="0"/>
          <w:i w:val="0"/>
          <w:sz w:val="24"/>
          <w:lang w:val="en-GB"/>
        </w:rPr>
        <w:t>Done in duplicate at Lisbon, on [DAY] [MONTH] [YEAR].</w:t>
      </w:r>
    </w:p>
    <w:p>
      <w:pPr>
        <w:spacing w:after="360" w:before="360" w:line="360" w:lineRule="auto"/>
        <w:jc w:val="center"/>
      </w:pPr>
      <w:r>
        <w:rPr>
          <w:rFonts w:ascii="Garamond" w:hAnsi="Garamond" w:eastAsia="Garamond" w:cs="Garamond"/>
          <w:b/>
          <w:i w:val="0"/>
          <w:sz w:val="24"/>
          <w:lang w:val="en-GB"/>
        </w:rPr>
        <w:t>SIGNATURES</w:t>
      </w:r>
    </w:p>
    <w:p>
      <w:pPr>
        <w:spacing w:after="520" w:before="0" w:line="360" w:lineRule="auto"/>
        <w:jc w:val="left"/>
      </w:pPr>
      <w:r>
        <w:rPr>
          <w:rFonts w:ascii="Garamond" w:hAnsi="Garamond" w:eastAsia="Garamond" w:cs="Garamond"/>
          <w:b w:val="0"/>
          <w:i w:val="0"/>
          <w:sz w:val="24"/>
          <w:lang w:val="en-GB"/>
        </w:rPr>
        <w:t>The First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[FULL NAME]</w:t>
      </w:r>
    </w:p>
    <w:p>
      <w:pPr>
        <w:spacing w:after="520" w:before="0" w:line="360" w:lineRule="auto"/>
        <w:jc w:val="left"/>
      </w:pPr>
      <w:r>
        <w:rPr>
          <w:rFonts w:ascii="Garamond" w:hAnsi="Garamond" w:eastAsia="Garamond" w:cs="Garamond"/>
          <w:b w:val="0"/>
          <w:i w:val="0"/>
          <w:sz w:val="24"/>
          <w:lang w:val="en-GB"/>
        </w:rPr>
        <w:t>The Second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PATRÍCIA SOARES VIANA</w:t>
      </w:r>
    </w:p>
    <w:p>
      <w:pPr>
        <w:spacing w:after="200" w:before="0" w:line="360" w:lineRule="auto"/>
        <w:jc w:val="left"/>
      </w:pPr>
      <w:r>
        <w:rPr>
          <w:rFonts w:ascii="Garamond" w:hAnsi="Garamond" w:eastAsia="Garamond" w:cs="Garamond"/>
          <w:b w:val="0"/>
          <w:i w:val="0"/>
          <w:sz w:val="24"/>
          <w:lang w:val="en-GB"/>
        </w:rPr>
        <w:t>For and on behalf of ALTTAVIA RELOCATION, Unipessoal Lda.</w:t>
      </w:r>
    </w:p>
    <w:sectPr w:rsidR="006D4374" w:rsidRPr="00226382" w:rsidSect="000E41C3">
      <w:headerReference w:type="even" r:id="rId7"/>
      <w:headerReference w:type="default" r:id="rId8"/>
      <w:footerReference w:type="default" r:id="rId9"/>
      <w:headerReference w:type="firs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996" w14:textId="77777777" w:rsidR="00C7218C" w:rsidRDefault="00C7218C" w:rsidP="00092CBA">
      <w:pPr>
        <w:spacing w:after="0" w:line="240" w:lineRule="auto"/>
      </w:pPr>
      <w:r>
        <w:separator/>
      </w:r>
    </w:p>
  </w:endnote>
  <w:endnote w:type="continuationSeparator" w:id="0">
    <w:p w14:paraId="0C53DF9B" w14:textId="77777777" w:rsidR="00C7218C" w:rsidRDefault="00C7218C" w:rsidP="0009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BA8" w14:textId="7FFCCCB0" w:rsidR="00031F11" w:rsidRDefault="007C66D1" w:rsidP="00031F11">
    <w:pPr>
      <w:pStyle w:val="Rodap"/>
      <w:tabs>
        <w:tab w:val="clear" w:pos="4680"/>
        <w:tab w:val="clear" w:pos="9360"/>
        <w:tab w:val="left" w:pos="7200"/>
      </w:tabs>
    </w:pPr>
    <w:r>
      <w:rPr>
        <w:noProof/>
      </w:rPr>
      <w:drawing>
        <wp:anchor distT="0" distB="0" distL="114300" distR="114300" simplePos="0" relativeHeight="251705344" behindDoc="1" locked="0" layoutInCell="1" allowOverlap="1" wp14:anchorId="20456A89" wp14:editId="78B69629">
          <wp:simplePos x="0" y="0"/>
          <wp:positionH relativeFrom="margin">
            <wp:posOffset>-949960</wp:posOffset>
          </wp:positionH>
          <wp:positionV relativeFrom="paragraph">
            <wp:posOffset>-409121</wp:posOffset>
          </wp:positionV>
          <wp:extent cx="7629486" cy="1356522"/>
          <wp:effectExtent l="0" t="0" r="0" b="0"/>
          <wp:wrapNone/>
          <wp:docPr id="1731264128" name="Picture 3" descr="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4128" name="Picture 3" descr="A yellow and blue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486" cy="1356522"/>
                  </a:xfrm>
                  <a:prstGeom prst="rect">
                    <a:avLst/>
                  </a:prstGeom>
                </pic:spPr>
              </pic:pic>
            </a:graphicData>
          </a:graphic>
          <wp14:sizeRelH relativeFrom="page">
            <wp14:pctWidth>0</wp14:pctWidth>
          </wp14:sizeRelH>
          <wp14:sizeRelV relativeFrom="page">
            <wp14:pctHeight>0</wp14:pctHeight>
          </wp14:sizeRelV>
        </wp:anchor>
      </w:drawing>
    </w:r>
    <w:r w:rsidR="00031F11">
      <w:tab/>
    </w:r>
  </w:p>
  <w:p w14:paraId="6224AF20" w14:textId="77777777" w:rsidR="00031F11" w:rsidRDefault="00031F11">
    <w:pPr>
      <w:pStyle w:val="Rodap"/>
    </w:pPr>
  </w:p>
  <w:p w14:paraId="345F4953" w14:textId="77777777" w:rsidR="00031F11" w:rsidRDefault="00031F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73B3" w14:textId="77777777" w:rsidR="00C7218C" w:rsidRDefault="00C7218C" w:rsidP="00092CBA">
      <w:pPr>
        <w:spacing w:after="0" w:line="240" w:lineRule="auto"/>
      </w:pPr>
      <w:r>
        <w:separator/>
      </w:r>
    </w:p>
  </w:footnote>
  <w:footnote w:type="continuationSeparator" w:id="0">
    <w:p w14:paraId="1391C98E" w14:textId="77777777" w:rsidR="00C7218C" w:rsidRDefault="00C7218C" w:rsidP="0009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6DF4" w14:textId="77777777" w:rsidR="00D34060" w:rsidRDefault="00000000">
    <w:pPr>
      <w:pStyle w:val="Cabealho"/>
    </w:pPr>
    <w:r>
      <w:rPr>
        <w:noProof/>
        <w:lang w:eastAsia="zh-CN"/>
      </w:rPr>
      <w:pict w14:anchorId="4B766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10" o:spid="_x0000_s1047" type="#_x0000_t75" style="position:absolute;margin-left:0;margin-top:0;width:451.15pt;height:638.4pt;z-index:-251614208;mso-position-horizontal:center;mso-position-horizontal-relative:margin;mso-position-vertical:center;mso-position-vertical-relative:margin" o:allowincell="f">
          <v:imagedata r:id="rId1" o:title="dfhgt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B40" w14:textId="1CB5F475" w:rsidR="00F57FFE" w:rsidRDefault="004B5D50">
    <w:pPr>
      <w:pStyle w:val="Cabealho"/>
    </w:pPr>
    <w:r>
      <w:rPr>
        <w:noProof/>
        <w:lang w:eastAsia="zh-CN"/>
      </w:rPr>
      <w:drawing>
        <wp:anchor distT="0" distB="0" distL="114300" distR="114300" simplePos="0" relativeHeight="251704320" behindDoc="1" locked="0" layoutInCell="1" allowOverlap="1" wp14:anchorId="480296D3" wp14:editId="7475611D">
          <wp:simplePos x="0" y="0"/>
          <wp:positionH relativeFrom="column">
            <wp:posOffset>3179658</wp:posOffset>
          </wp:positionH>
          <wp:positionV relativeFrom="paragraph">
            <wp:posOffset>-90170</wp:posOffset>
          </wp:positionV>
          <wp:extent cx="172177" cy="1075516"/>
          <wp:effectExtent l="0" t="0" r="0" b="0"/>
          <wp:wrapNone/>
          <wp:docPr id="442906617"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617" name="Picture 2"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177" cy="1075516"/>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703296" behindDoc="1" locked="0" layoutInCell="1" allowOverlap="1" wp14:anchorId="058AAD8A" wp14:editId="17518CFC">
          <wp:simplePos x="0" y="0"/>
          <wp:positionH relativeFrom="margin">
            <wp:posOffset>0</wp:posOffset>
          </wp:positionH>
          <wp:positionV relativeFrom="paragraph">
            <wp:posOffset>-45376</wp:posOffset>
          </wp:positionV>
          <wp:extent cx="1654175" cy="1146810"/>
          <wp:effectExtent l="0" t="0" r="3175" b="0"/>
          <wp:wrapNone/>
          <wp:docPr id="91069049" name="Picture 1" descr="A yellow glob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49" name="Picture 1" descr="A yellow globe with blu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4175" cy="114681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63360" behindDoc="1" locked="0" layoutInCell="1" allowOverlap="1" wp14:anchorId="3A99DE5D" wp14:editId="00D55C69">
              <wp:simplePos x="0" y="0"/>
              <wp:positionH relativeFrom="margin">
                <wp:posOffset>3281584</wp:posOffset>
              </wp:positionH>
              <wp:positionV relativeFrom="paragraph">
                <wp:posOffset>-149551</wp:posOffset>
              </wp:positionV>
              <wp:extent cx="2640651" cy="154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40651" cy="154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3"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4"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DE5D" id="_x0000_t202" coordsize="21600,21600" o:spt="202" path="m,l,21600r21600,l21600,xe">
              <v:stroke joinstyle="miter"/>
              <v:path gradientshapeok="t" o:connecttype="rect"/>
            </v:shapetype>
            <v:shape id="Text Box 10" o:spid="_x0000_s1026" type="#_x0000_t202" style="position:absolute;margin-left:258.4pt;margin-top:-11.8pt;width:207.95pt;height:1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" filled="f" stroked="f" strokeweight=".5pt">
              <v:textbo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5"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6"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v:textbox>
              <w10:wrap anchorx="margin"/>
            </v:shape>
          </w:pict>
        </mc:Fallback>
      </mc:AlternateContent>
    </w:r>
  </w:p>
  <w:p w14:paraId="12BFEEDA" w14:textId="012EA742" w:rsidR="00F57FFE" w:rsidRDefault="00F57FFE">
    <w:pPr>
      <w:pStyle w:val="Cabealho"/>
    </w:pPr>
  </w:p>
  <w:p w14:paraId="683AEA8C" w14:textId="7D579CE4" w:rsidR="00F57FFE" w:rsidRDefault="00F57FFE">
    <w:pPr>
      <w:pStyle w:val="Cabealho"/>
    </w:pPr>
  </w:p>
  <w:p w14:paraId="3744F665" w14:textId="5AFB095C" w:rsidR="00E31C07" w:rsidRDefault="00E31C07">
    <w:pPr>
      <w:pStyle w:val="Cabealho"/>
    </w:pPr>
  </w:p>
  <w:p w14:paraId="6BAD4BFE" w14:textId="1368ABC3" w:rsidR="00E31C07" w:rsidRDefault="00652B9D" w:rsidP="00652B9D">
    <w:pPr>
      <w:pStyle w:val="Cabealho"/>
      <w:tabs>
        <w:tab w:val="clear" w:pos="4680"/>
        <w:tab w:val="clear" w:pos="9360"/>
        <w:tab w:val="left" w:pos="5184"/>
      </w:tabs>
    </w:pPr>
    <w:r>
      <w:tab/>
    </w:r>
  </w:p>
  <w:p w14:paraId="58962FA3" w14:textId="167FF5C6" w:rsidR="002020AA" w:rsidRDefault="002020AA">
    <w:pPr>
      <w:pStyle w:val="Cabealho"/>
    </w:pPr>
  </w:p>
  <w:p w14:paraId="72493E2A" w14:textId="6D2EF51D" w:rsidR="00E31C07" w:rsidRDefault="00E31C07">
    <w:pPr>
      <w:pStyle w:val="Cabealho"/>
    </w:pPr>
  </w:p>
  <w:p w14:paraId="1E509224" w14:textId="77777777" w:rsidR="004B5D50" w:rsidRDefault="004B5D5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EB5" w14:textId="77777777" w:rsidR="00D34060" w:rsidRDefault="00000000">
    <w:pPr>
      <w:pStyle w:val="Cabealho"/>
    </w:pPr>
    <w:r>
      <w:rPr>
        <w:noProof/>
        <w:lang w:eastAsia="zh-CN"/>
      </w:rPr>
      <w:pict w14:anchorId="4027C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09" o:spid="_x0000_s1046" type="#_x0000_t75" style="position:absolute;margin-left:0;margin-top:0;width:451.15pt;height:638.4pt;z-index:-251615232;mso-position-horizontal:center;mso-position-horizontal-relative:margin;mso-position-vertical:center;mso-position-vertical-relative:margin" o:allowincell="f">
          <v:imagedata r:id="rId1" o:title="dfhgt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714C"/>
    <w:multiLevelType w:val="multilevel"/>
    <w:tmpl w:val="85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5276"/>
    <w:multiLevelType w:val="hybridMultilevel"/>
    <w:tmpl w:val="6186C7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8AA5658"/>
    <w:multiLevelType w:val="multilevel"/>
    <w:tmpl w:val="E3C48B1C"/>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2068A"/>
    <w:multiLevelType w:val="multilevel"/>
    <w:tmpl w:val="BD2E0D86"/>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C3D07"/>
    <w:multiLevelType w:val="multilevel"/>
    <w:tmpl w:val="0E820890"/>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A139B"/>
    <w:multiLevelType w:val="hybridMultilevel"/>
    <w:tmpl w:val="24B6B0BE"/>
    <w:lvl w:ilvl="0" w:tplc="C4441C18">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38177463">
    <w:abstractNumId w:val="2"/>
  </w:num>
  <w:num w:numId="2" w16cid:durableId="202180380">
    <w:abstractNumId w:val="3"/>
  </w:num>
  <w:num w:numId="3" w16cid:durableId="2081637991">
    <w:abstractNumId w:val="4"/>
  </w:num>
  <w:num w:numId="4" w16cid:durableId="1398477802">
    <w:abstractNumId w:val="0"/>
  </w:num>
  <w:num w:numId="5" w16cid:durableId="304968323">
    <w:abstractNumId w:val="5"/>
  </w:num>
  <w:num w:numId="6" w16cid:durableId="168867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BA"/>
    <w:rsid w:val="0000095D"/>
    <w:rsid w:val="0001193E"/>
    <w:rsid w:val="00031F04"/>
    <w:rsid w:val="00031F11"/>
    <w:rsid w:val="00054ED2"/>
    <w:rsid w:val="00055321"/>
    <w:rsid w:val="0008095C"/>
    <w:rsid w:val="000925C4"/>
    <w:rsid w:val="00092CBA"/>
    <w:rsid w:val="000E41C3"/>
    <w:rsid w:val="00143333"/>
    <w:rsid w:val="001536AF"/>
    <w:rsid w:val="001C5629"/>
    <w:rsid w:val="001E33EE"/>
    <w:rsid w:val="001E3B74"/>
    <w:rsid w:val="001F0A34"/>
    <w:rsid w:val="002020AA"/>
    <w:rsid w:val="0020660B"/>
    <w:rsid w:val="00222FF5"/>
    <w:rsid w:val="00226382"/>
    <w:rsid w:val="00253BFC"/>
    <w:rsid w:val="0025727F"/>
    <w:rsid w:val="00270CF4"/>
    <w:rsid w:val="002D7AB8"/>
    <w:rsid w:val="002F3866"/>
    <w:rsid w:val="00337296"/>
    <w:rsid w:val="0034619E"/>
    <w:rsid w:val="003C0074"/>
    <w:rsid w:val="003D229B"/>
    <w:rsid w:val="00414D74"/>
    <w:rsid w:val="00433696"/>
    <w:rsid w:val="0044302E"/>
    <w:rsid w:val="00491BE8"/>
    <w:rsid w:val="00491C22"/>
    <w:rsid w:val="004935F4"/>
    <w:rsid w:val="00493B59"/>
    <w:rsid w:val="004B5D50"/>
    <w:rsid w:val="004D2554"/>
    <w:rsid w:val="004E3C8A"/>
    <w:rsid w:val="004F351B"/>
    <w:rsid w:val="004F3767"/>
    <w:rsid w:val="00517CA9"/>
    <w:rsid w:val="00567D3D"/>
    <w:rsid w:val="005915D8"/>
    <w:rsid w:val="005C5774"/>
    <w:rsid w:val="00652B9D"/>
    <w:rsid w:val="006821B3"/>
    <w:rsid w:val="006D4374"/>
    <w:rsid w:val="00771018"/>
    <w:rsid w:val="00792B60"/>
    <w:rsid w:val="00797540"/>
    <w:rsid w:val="007A200B"/>
    <w:rsid w:val="007C66D1"/>
    <w:rsid w:val="00802719"/>
    <w:rsid w:val="008A1526"/>
    <w:rsid w:val="008A343D"/>
    <w:rsid w:val="008E70B0"/>
    <w:rsid w:val="009124D6"/>
    <w:rsid w:val="00924B10"/>
    <w:rsid w:val="00933386"/>
    <w:rsid w:val="009930A3"/>
    <w:rsid w:val="00A630F5"/>
    <w:rsid w:val="00A801D4"/>
    <w:rsid w:val="00BA0074"/>
    <w:rsid w:val="00BC1430"/>
    <w:rsid w:val="00BE433C"/>
    <w:rsid w:val="00C47552"/>
    <w:rsid w:val="00C7218C"/>
    <w:rsid w:val="00CA737F"/>
    <w:rsid w:val="00D10ED6"/>
    <w:rsid w:val="00D14328"/>
    <w:rsid w:val="00D211F6"/>
    <w:rsid w:val="00D34060"/>
    <w:rsid w:val="00D470BF"/>
    <w:rsid w:val="00D85FCC"/>
    <w:rsid w:val="00DB24DE"/>
    <w:rsid w:val="00E054E8"/>
    <w:rsid w:val="00E31C07"/>
    <w:rsid w:val="00E8599F"/>
    <w:rsid w:val="00EC60DD"/>
    <w:rsid w:val="00EF367F"/>
    <w:rsid w:val="00F14035"/>
    <w:rsid w:val="00F25C94"/>
    <w:rsid w:val="00F57FFE"/>
    <w:rsid w:val="00F95927"/>
    <w:rsid w:val="00FD0A6F"/>
    <w:rsid w:val="00FD6B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93630"/>
  <w15:chartTrackingRefBased/>
  <w15:docId w15:val="{63683AFE-ABB1-42B9-A0A1-543BA8F6D2D5}"/>
  <w:autoHyphenation w:val="true"/>
  <w:doNotHyphenateCaps w:val="false"/>
  <w:hyphenationZone w:val="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92CB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092CBA"/>
  </w:style>
  <w:style w:type="paragraph" w:styleId="Rodap">
    <w:name w:val="footer"/>
    <w:basedOn w:val="Normal"/>
    <w:link w:val="RodapCarter"/>
    <w:uiPriority w:val="99"/>
    <w:unhideWhenUsed/>
    <w:rsid w:val="00092CB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092CBA"/>
  </w:style>
  <w:style w:type="paragraph" w:styleId="SemEspaamento">
    <w:name w:val="No Spacing"/>
    <w:uiPriority w:val="1"/>
    <w:qFormat/>
    <w:rsid w:val="00491C22"/>
    <w:pPr>
      <w:spacing w:after="0" w:line="240" w:lineRule="auto"/>
    </w:pPr>
  </w:style>
  <w:style w:type="character" w:styleId="Hiperligao">
    <w:name w:val="Hyperlink"/>
    <w:basedOn w:val="Tipodeletrapredefinidodopargrafo"/>
    <w:uiPriority w:val="99"/>
    <w:unhideWhenUsed/>
    <w:rsid w:val="00A630F5"/>
    <w:rPr>
      <w:color w:val="0563C1" w:themeColor="hyperlink"/>
      <w:u w:val="single"/>
    </w:rPr>
  </w:style>
  <w:style w:type="paragraph" w:customStyle="1" w:styleId="paragraph">
    <w:name w:val="paragraph"/>
    <w:basedOn w:val="Normal"/>
    <w:rsid w:val="00337296"/>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normaltextrun">
    <w:name w:val="normaltextrun"/>
    <w:basedOn w:val="Tipodeletrapredefinidodopargrafo"/>
    <w:rsid w:val="00337296"/>
  </w:style>
  <w:style w:type="character" w:customStyle="1" w:styleId="eop">
    <w:name w:val="eop"/>
    <w:basedOn w:val="Tipodeletrapredefinidodopargrafo"/>
    <w:rsid w:val="00337296"/>
  </w:style>
  <w:style w:type="paragraph" w:styleId="PargrafodaLista">
    <w:name w:val="List Paragraph"/>
    <w:basedOn w:val="Normal"/>
    <w:uiPriority w:val="34"/>
    <w:qFormat/>
    <w:rsid w:val="00BE433C"/>
    <w:pPr>
      <w:ind w:left="720"/>
      <w:contextualSpacing/>
    </w:pPr>
  </w:style>
  <w:style w:type="character" w:styleId="MenoNoResolvida">
    <w:name w:val="Unresolved Mention"/>
    <w:basedOn w:val="Tipodeletrapredefinidodopargrafo"/>
    <w:uiPriority w:val="99"/>
    <w:semiHidden/>
    <w:unhideWhenUsed/>
    <w:rsid w:val="00652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5433">
      <w:bodyDiv w:val="1"/>
      <w:marLeft w:val="0"/>
      <w:marRight w:val="0"/>
      <w:marTop w:val="0"/>
      <w:marBottom w:val="0"/>
      <w:divBdr>
        <w:top w:val="none" w:sz="0" w:space="0" w:color="auto"/>
        <w:left w:val="none" w:sz="0" w:space="0" w:color="auto"/>
        <w:bottom w:val="none" w:sz="0" w:space="0" w:color="auto"/>
        <w:right w:val="none" w:sz="0" w:space="0" w:color="auto"/>
      </w:divBdr>
    </w:div>
    <w:div w:id="576524426">
      <w:bodyDiv w:val="1"/>
      <w:marLeft w:val="0"/>
      <w:marRight w:val="0"/>
      <w:marTop w:val="0"/>
      <w:marBottom w:val="0"/>
      <w:divBdr>
        <w:top w:val="none" w:sz="0" w:space="0" w:color="auto"/>
        <w:left w:val="none" w:sz="0" w:space="0" w:color="auto"/>
        <w:bottom w:val="none" w:sz="0" w:space="0" w:color="auto"/>
        <w:right w:val="none" w:sz="0" w:space="0" w:color="auto"/>
      </w:divBdr>
      <w:divsChild>
        <w:div w:id="1582372907">
          <w:marLeft w:val="0"/>
          <w:marRight w:val="0"/>
          <w:marTop w:val="0"/>
          <w:marBottom w:val="0"/>
          <w:divBdr>
            <w:top w:val="none" w:sz="0" w:space="0" w:color="auto"/>
            <w:left w:val="none" w:sz="0" w:space="0" w:color="auto"/>
            <w:bottom w:val="none" w:sz="0" w:space="0" w:color="auto"/>
            <w:right w:val="none" w:sz="0" w:space="0" w:color="auto"/>
          </w:divBdr>
        </w:div>
        <w:div w:id="940377547">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183862365">
          <w:marLeft w:val="0"/>
          <w:marRight w:val="0"/>
          <w:marTop w:val="0"/>
          <w:marBottom w:val="0"/>
          <w:divBdr>
            <w:top w:val="none" w:sz="0" w:space="0" w:color="auto"/>
            <w:left w:val="none" w:sz="0" w:space="0" w:color="auto"/>
            <w:bottom w:val="none" w:sz="0" w:space="0" w:color="auto"/>
            <w:right w:val="none" w:sz="0" w:space="0" w:color="auto"/>
          </w:divBdr>
        </w:div>
        <w:div w:id="1377393018">
          <w:marLeft w:val="0"/>
          <w:marRight w:val="0"/>
          <w:marTop w:val="0"/>
          <w:marBottom w:val="0"/>
          <w:divBdr>
            <w:top w:val="none" w:sz="0" w:space="0" w:color="auto"/>
            <w:left w:val="none" w:sz="0" w:space="0" w:color="auto"/>
            <w:bottom w:val="none" w:sz="0" w:space="0" w:color="auto"/>
            <w:right w:val="none" w:sz="0" w:space="0" w:color="auto"/>
          </w:divBdr>
        </w:div>
        <w:div w:id="957417456">
          <w:marLeft w:val="0"/>
          <w:marRight w:val="0"/>
          <w:marTop w:val="0"/>
          <w:marBottom w:val="0"/>
          <w:divBdr>
            <w:top w:val="none" w:sz="0" w:space="0" w:color="auto"/>
            <w:left w:val="none" w:sz="0" w:space="0" w:color="auto"/>
            <w:bottom w:val="none" w:sz="0" w:space="0" w:color="auto"/>
            <w:right w:val="none" w:sz="0" w:space="0" w:color="auto"/>
          </w:divBdr>
        </w:div>
        <w:div w:id="358046701">
          <w:marLeft w:val="0"/>
          <w:marRight w:val="0"/>
          <w:marTop w:val="0"/>
          <w:marBottom w:val="0"/>
          <w:divBdr>
            <w:top w:val="none" w:sz="0" w:space="0" w:color="auto"/>
            <w:left w:val="none" w:sz="0" w:space="0" w:color="auto"/>
            <w:bottom w:val="none" w:sz="0" w:space="0" w:color="auto"/>
            <w:right w:val="none" w:sz="0" w:space="0" w:color="auto"/>
          </w:divBdr>
        </w:div>
        <w:div w:id="1223710547">
          <w:marLeft w:val="0"/>
          <w:marRight w:val="0"/>
          <w:marTop w:val="0"/>
          <w:marBottom w:val="0"/>
          <w:divBdr>
            <w:top w:val="none" w:sz="0" w:space="0" w:color="auto"/>
            <w:left w:val="none" w:sz="0" w:space="0" w:color="auto"/>
            <w:bottom w:val="none" w:sz="0" w:space="0" w:color="auto"/>
            <w:right w:val="none" w:sz="0" w:space="0" w:color="auto"/>
          </w:divBdr>
        </w:div>
        <w:div w:id="836119743">
          <w:marLeft w:val="0"/>
          <w:marRight w:val="0"/>
          <w:marTop w:val="0"/>
          <w:marBottom w:val="0"/>
          <w:divBdr>
            <w:top w:val="none" w:sz="0" w:space="0" w:color="auto"/>
            <w:left w:val="none" w:sz="0" w:space="0" w:color="auto"/>
            <w:bottom w:val="none" w:sz="0" w:space="0" w:color="auto"/>
            <w:right w:val="none" w:sz="0" w:space="0" w:color="auto"/>
          </w:divBdr>
        </w:div>
        <w:div w:id="869144536">
          <w:marLeft w:val="0"/>
          <w:marRight w:val="0"/>
          <w:marTop w:val="0"/>
          <w:marBottom w:val="0"/>
          <w:divBdr>
            <w:top w:val="none" w:sz="0" w:space="0" w:color="auto"/>
            <w:left w:val="none" w:sz="0" w:space="0" w:color="auto"/>
            <w:bottom w:val="none" w:sz="0" w:space="0" w:color="auto"/>
            <w:right w:val="none" w:sz="0" w:space="0" w:color="auto"/>
          </w:divBdr>
        </w:div>
        <w:div w:id="951977593">
          <w:marLeft w:val="0"/>
          <w:marRight w:val="0"/>
          <w:marTop w:val="0"/>
          <w:marBottom w:val="0"/>
          <w:divBdr>
            <w:top w:val="none" w:sz="0" w:space="0" w:color="auto"/>
            <w:left w:val="none" w:sz="0" w:space="0" w:color="auto"/>
            <w:bottom w:val="none" w:sz="0" w:space="0" w:color="auto"/>
            <w:right w:val="none" w:sz="0" w:space="0" w:color="auto"/>
          </w:divBdr>
        </w:div>
        <w:div w:id="1217934797">
          <w:marLeft w:val="0"/>
          <w:marRight w:val="0"/>
          <w:marTop w:val="0"/>
          <w:marBottom w:val="0"/>
          <w:divBdr>
            <w:top w:val="none" w:sz="0" w:space="0" w:color="auto"/>
            <w:left w:val="none" w:sz="0" w:space="0" w:color="auto"/>
            <w:bottom w:val="none" w:sz="0" w:space="0" w:color="auto"/>
            <w:right w:val="none" w:sz="0" w:space="0" w:color="auto"/>
          </w:divBdr>
        </w:div>
        <w:div w:id="53478925">
          <w:marLeft w:val="0"/>
          <w:marRight w:val="0"/>
          <w:marTop w:val="0"/>
          <w:marBottom w:val="0"/>
          <w:divBdr>
            <w:top w:val="none" w:sz="0" w:space="0" w:color="auto"/>
            <w:left w:val="none" w:sz="0" w:space="0" w:color="auto"/>
            <w:bottom w:val="none" w:sz="0" w:space="0" w:color="auto"/>
            <w:right w:val="none" w:sz="0" w:space="0" w:color="auto"/>
          </w:divBdr>
        </w:div>
        <w:div w:id="777608080">
          <w:marLeft w:val="0"/>
          <w:marRight w:val="0"/>
          <w:marTop w:val="0"/>
          <w:marBottom w:val="0"/>
          <w:divBdr>
            <w:top w:val="none" w:sz="0" w:space="0" w:color="auto"/>
            <w:left w:val="none" w:sz="0" w:space="0" w:color="auto"/>
            <w:bottom w:val="none" w:sz="0" w:space="0" w:color="auto"/>
            <w:right w:val="none" w:sz="0" w:space="0" w:color="auto"/>
          </w:divBdr>
        </w:div>
        <w:div w:id="1030834468">
          <w:marLeft w:val="0"/>
          <w:marRight w:val="0"/>
          <w:marTop w:val="0"/>
          <w:marBottom w:val="0"/>
          <w:divBdr>
            <w:top w:val="none" w:sz="0" w:space="0" w:color="auto"/>
            <w:left w:val="none" w:sz="0" w:space="0" w:color="auto"/>
            <w:bottom w:val="none" w:sz="0" w:space="0" w:color="auto"/>
            <w:right w:val="none" w:sz="0" w:space="0" w:color="auto"/>
          </w:divBdr>
        </w:div>
        <w:div w:id="178399071">
          <w:marLeft w:val="0"/>
          <w:marRight w:val="0"/>
          <w:marTop w:val="0"/>
          <w:marBottom w:val="0"/>
          <w:divBdr>
            <w:top w:val="none" w:sz="0" w:space="0" w:color="auto"/>
            <w:left w:val="none" w:sz="0" w:space="0" w:color="auto"/>
            <w:bottom w:val="none" w:sz="0" w:space="0" w:color="auto"/>
            <w:right w:val="none" w:sz="0" w:space="0" w:color="auto"/>
          </w:divBdr>
        </w:div>
        <w:div w:id="2087260741">
          <w:marLeft w:val="0"/>
          <w:marRight w:val="0"/>
          <w:marTop w:val="0"/>
          <w:marBottom w:val="0"/>
          <w:divBdr>
            <w:top w:val="none" w:sz="0" w:space="0" w:color="auto"/>
            <w:left w:val="none" w:sz="0" w:space="0" w:color="auto"/>
            <w:bottom w:val="none" w:sz="0" w:space="0" w:color="auto"/>
            <w:right w:val="none" w:sz="0" w:space="0" w:color="auto"/>
          </w:divBdr>
        </w:div>
        <w:div w:id="1720326634">
          <w:marLeft w:val="0"/>
          <w:marRight w:val="0"/>
          <w:marTop w:val="0"/>
          <w:marBottom w:val="0"/>
          <w:divBdr>
            <w:top w:val="none" w:sz="0" w:space="0" w:color="auto"/>
            <w:left w:val="none" w:sz="0" w:space="0" w:color="auto"/>
            <w:bottom w:val="none" w:sz="0" w:space="0" w:color="auto"/>
            <w:right w:val="none" w:sz="0" w:space="0" w:color="auto"/>
          </w:divBdr>
        </w:div>
        <w:div w:id="1097096310">
          <w:marLeft w:val="0"/>
          <w:marRight w:val="0"/>
          <w:marTop w:val="0"/>
          <w:marBottom w:val="0"/>
          <w:divBdr>
            <w:top w:val="none" w:sz="0" w:space="0" w:color="auto"/>
            <w:left w:val="none" w:sz="0" w:space="0" w:color="auto"/>
            <w:bottom w:val="none" w:sz="0" w:space="0" w:color="auto"/>
            <w:right w:val="none" w:sz="0" w:space="0" w:color="auto"/>
          </w:divBdr>
        </w:div>
        <w:div w:id="808013562">
          <w:marLeft w:val="0"/>
          <w:marRight w:val="0"/>
          <w:marTop w:val="0"/>
          <w:marBottom w:val="0"/>
          <w:divBdr>
            <w:top w:val="none" w:sz="0" w:space="0" w:color="auto"/>
            <w:left w:val="none" w:sz="0" w:space="0" w:color="auto"/>
            <w:bottom w:val="none" w:sz="0" w:space="0" w:color="auto"/>
            <w:right w:val="none" w:sz="0" w:space="0" w:color="auto"/>
          </w:divBdr>
        </w:div>
        <w:div w:id="1635679161">
          <w:marLeft w:val="0"/>
          <w:marRight w:val="0"/>
          <w:marTop w:val="0"/>
          <w:marBottom w:val="0"/>
          <w:divBdr>
            <w:top w:val="none" w:sz="0" w:space="0" w:color="auto"/>
            <w:left w:val="none" w:sz="0" w:space="0" w:color="auto"/>
            <w:bottom w:val="none" w:sz="0" w:space="0" w:color="auto"/>
            <w:right w:val="none" w:sz="0" w:space="0" w:color="auto"/>
          </w:divBdr>
        </w:div>
        <w:div w:id="343240241">
          <w:marLeft w:val="0"/>
          <w:marRight w:val="0"/>
          <w:marTop w:val="0"/>
          <w:marBottom w:val="0"/>
          <w:divBdr>
            <w:top w:val="none" w:sz="0" w:space="0" w:color="auto"/>
            <w:left w:val="none" w:sz="0" w:space="0" w:color="auto"/>
            <w:bottom w:val="none" w:sz="0" w:space="0" w:color="auto"/>
            <w:right w:val="none" w:sz="0" w:space="0" w:color="auto"/>
          </w:divBdr>
        </w:div>
        <w:div w:id="98912842">
          <w:marLeft w:val="0"/>
          <w:marRight w:val="0"/>
          <w:marTop w:val="0"/>
          <w:marBottom w:val="0"/>
          <w:divBdr>
            <w:top w:val="none" w:sz="0" w:space="0" w:color="auto"/>
            <w:left w:val="none" w:sz="0" w:space="0" w:color="auto"/>
            <w:bottom w:val="none" w:sz="0" w:space="0" w:color="auto"/>
            <w:right w:val="none" w:sz="0" w:space="0" w:color="auto"/>
          </w:divBdr>
        </w:div>
      </w:divsChild>
    </w:div>
    <w:div w:id="94013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patriciaviana-65755L@adv.oa.pt"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visas.vianaconsultancy.com/" TargetMode="External"/><Relationship Id="rId5" Type="http://schemas.openxmlformats.org/officeDocument/2006/relationships/hyperlink" Target="mailto:patriciaviana-65755L@adv.oa.pt" TargetMode="External"/><Relationship Id="rId4" Type="http://schemas.openxmlformats.org/officeDocument/2006/relationships/hyperlink" Target="https://visas.vianaconsultancy.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3951</Words>
  <Characters>21340</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Patrícia Soares Viana</cp:lastModifiedBy>
  <cp:revision>2</cp:revision>
  <cp:lastPrinted>2025-05-16T14:01:00Z</cp:lastPrinted>
  <dcterms:created xsi:type="dcterms:W3CDTF">2026-05-05T19:59:00Z</dcterms:created>
  <dcterms:modified xsi:type="dcterms:W3CDTF">2026-05-05T19:59:00Z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e91add86fb4a6ec78347a138bbf1f6673bb281ac37a62f72a25b004e01f61a9f</vt:lpwstr>
  </property>
  <property fmtid="{D5CDD505-2E9C-101B-9397-08002B2CF9AE}" pid="3" name="MSIP_Label_defa4170-0d19-0005-0004-bc88714345d2_Enabled">
    <vt:lpwstr>true</vt:lpwstr>
  </property>
  <property fmtid="{D5CDD505-2E9C-101B-9397-08002B2CF9AE}" pid="4" name="MSIP_Label_defa4170-0d19-0005-0004-bc88714345d2_SetDate">
    <vt:lpwstr>2024-03-12T19:54:58Z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b830d09f-dfd0-4ba9-902b-eba29fb959d7</vt:lpwstr>
  </property>
  <property fmtid="{D5CDD505-2E9C-101B-9397-08002B2CF9AE}" pid="8" name="MSIP_Label_defa4170-0d19-0005-0004-bc88714345d2_ActionId">
    <vt:lpwstr>157aaffa-b273-44ee-9db2-1930bfd24343</vt:lpwstr>
  </property>
  <property fmtid="{D5CDD505-2E9C-101B-9397-08002B2CF9AE}" pid="9" name="MSIP_Label_defa4170-0d19-0005-0004-bc88714345d2_ContentBits">
    <vt:lpwstr>0</vt:lpwstr>
  </property>
</Properties>
</file>