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80" w:before="0" w:line="360" w:lineRule="auto"/>
        <w:jc w:val="center"/>
      </w:pPr>
      <w:r>
        <w:rPr>
          <w:rFonts w:ascii="Garamond" w:hAnsi="Garamond" w:eastAsia="Garamond" w:cs="Garamond"/>
          <w:b/>
          <w:i w:val="0"/>
          <w:sz w:val="24"/>
          <w:lang w:val="en-GB"/>
        </w:rPr>
        <w:t>CONTRACT FOR LEGAL SERVICES</w:t>
      </w:r>
    </w:p>
    <w:p>
      <w:pPr>
        <w:keepNext/>
        <w:spacing w:after="360" w:before="0" w:line="360" w:lineRule="auto"/>
        <w:jc w:val="center"/>
      </w:pPr>
      <w:r>
        <w:rPr>
          <w:rFonts w:ascii="Garamond" w:hAnsi="Garamond" w:eastAsia="Garamond" w:cs="Garamond"/>
          <w:b/>
          <w:i w:val="0"/>
          <w:sz w:val="24"/>
          <w:lang w:val="en-GB"/>
        </w:rPr>
        <w:t>(Couple Package — Portuguese Tax Identification Number (NIF) and Opening of a Portuguese Bank Account)</w:t>
      </w:r>
    </w:p>
    <w:p>
      <w:pPr>
        <w:spacing w:after="240" w:before="0" w:line="360" w:lineRule="auto"/>
        <w:jc w:val="both"/>
      </w:pPr>
      <w:r>
        <w:rPr>
          <w:rFonts w:ascii="Garamond" w:hAnsi="Garamond" w:eastAsia="Garamond" w:cs="Garamond"/>
          <w:b w:val="0"/>
          <w:i w:val="0"/>
          <w:sz w:val="24"/>
          <w:lang w:val="en-GB"/>
        </w:rPr>
        <w:t>Between:</w:t>
      </w:r>
    </w:p>
    <w:p>
      <w:pPr>
        <w:spacing w:after="240" w:before="0" w:line="360" w:lineRule="auto"/>
        <w:jc w:val="both"/>
      </w:pPr>
      <w:r>
        <w:rPr>
          <w:rFonts w:ascii="Garamond" w:hAnsi="Garamond" w:eastAsia="Garamond" w:cs="Garamond"/>
          <w:b/>
          <w:i w:val="0"/>
          <w:sz w:val="24"/>
          <w:lang w:val="en-GB"/>
        </w:rPr>
        <w:t>[FULL NAME]</w:t>
      </w:r>
      <w:r>
        <w:rPr>
          <w:rFonts w:ascii="Garamond" w:hAnsi="Garamond" w:eastAsia="Garamond" w:cs="Garamond"/>
          <w:b w:val="0"/>
          <w:i w:val="0"/>
          <w:sz w:val="24"/>
          <w:lang w:val="en-GB"/>
        </w:rPr>
        <w:t xml:space="preserve">, born in [PLACE OF BIRTH], on [DATE OF BIRTH], of legal age, holder of passport no. [PASSPORT NO.], issued by [PASSPORT ISSUING AUTHORITY] on [DATE OF ISSUE], valid until [EXPIRY DATE], tax resident at [TAX RESIDENCE ADDRESS], and </w:t>
      </w:r>
      <w:r>
        <w:rPr>
          <w:rFonts w:ascii="Garamond" w:hAnsi="Garamond" w:eastAsia="Garamond" w:cs="Garamond"/>
          <w:b/>
          <w:i w:val="0"/>
          <w:sz w:val="24"/>
          <w:lang w:val="en-GB"/>
        </w:rPr>
        <w:t>[FULL NAME 2]</w:t>
      </w:r>
      <w:r>
        <w:rPr>
          <w:rFonts w:ascii="Garamond" w:hAnsi="Garamond" w:eastAsia="Garamond" w:cs="Garamond"/>
          <w:b w:val="0"/>
          <w:i w:val="0"/>
          <w:sz w:val="24"/>
          <w:lang w:val="en-GB"/>
        </w:rPr>
        <w:t>, born in [PLACE OF BIRTH 2], on [DATE OF BIRTH 2], of legal age, holder of passport no. [PASSPORT NO. 2], issued by [PASSPORT ISSUING AUTHORITY 2] on [DATE OF ISSUE 2], valid until [EXPIRY DATE 2], tax resident at [TAX RESIDENCE ADDRESS 2], both with email address [EMAIL], hereinafter jointly referred to as the First Party or Client;</w:t>
      </w:r>
    </w:p>
    <w:p>
      <w:pPr>
        <w:spacing w:after="240" w:before="0" w:line="360" w:lineRule="auto"/>
        <w:jc w:val="both"/>
      </w:pPr>
      <w:r>
        <w:rPr>
          <w:rFonts w:ascii="Garamond" w:hAnsi="Garamond" w:eastAsia="Garamond" w:cs="Garamond"/>
          <w:b w:val="0"/>
          <w:i w:val="0"/>
          <w:sz w:val="24"/>
          <w:lang w:val="en-GB"/>
        </w:rPr>
        <w:t>and</w:t>
      </w:r>
    </w:p>
    <w:p>
      <w:pPr>
        <w:spacing w:after="240" w:before="0" w:line="360" w:lineRule="auto"/>
        <w:jc w:val="both"/>
      </w:pPr>
      <w:r>
        <w:rPr>
          <w:rFonts w:ascii="Garamond" w:hAnsi="Garamond" w:eastAsia="Garamond" w:cs="Garamond"/>
          <w:b/>
          <w:i w:val="0"/>
          <w:sz w:val="24"/>
          <w:lang w:val="en-GB"/>
        </w:rPr>
        <w:t>ALTTAVIA RELOCATION, Unipessoal Lda.</w:t>
      </w:r>
      <w:r>
        <w:rPr>
          <w:rFonts w:ascii="Garamond" w:hAnsi="Garamond" w:eastAsia="Garamond" w:cs="Garamond"/>
          <w:b w:val="0"/>
          <w:i w:val="0"/>
          <w:sz w:val="24"/>
          <w:lang w:val="en-GB"/>
        </w:rPr>
        <w:t>, a Portuguese company (NIPC 518856984), with registered office at Av. António Augusto Aguiar, 24, 1st floor right, Office 3, 1050-016 Lisbon, Portugal, duly represented by Patrícia Soares Viana, Attorney-at-Law, registered with the Portuguese Bar Association under no. 65755L, taxpayer no. 295970677, hereinafter referred to as the Second Party.</w:t>
      </w:r>
    </w:p>
    <w:p>
      <w:pPr>
        <w:spacing w:after="240" w:before="0" w:line="360" w:lineRule="auto"/>
        <w:jc w:val="both"/>
      </w:pPr>
      <w:r>
        <w:rPr>
          <w:rFonts w:ascii="Garamond" w:hAnsi="Garamond" w:eastAsia="Garamond" w:cs="Garamond"/>
          <w:b w:val="0"/>
          <w:i w:val="0"/>
          <w:sz w:val="24"/>
          <w:lang w:val="en-GB"/>
        </w:rPr>
        <w:t>This contract is entered into freely and in good faith and shall be governed by the following clauses:</w:t>
      </w:r>
    </w:p>
    <w:p>
      <w:pPr>
        <w:keepNext/>
        <w:spacing w:after="0" w:before="200" w:line="360" w:lineRule="auto"/>
        <w:jc w:val="center"/>
      </w:pPr>
      <w:r>
        <w:rPr>
          <w:rFonts w:ascii="Garamond" w:hAnsi="Garamond" w:eastAsia="Garamond" w:cs="Garamond"/>
          <w:b/>
          <w:i w:val="0"/>
          <w:sz w:val="24"/>
          <w:lang w:val="en-GB"/>
        </w:rPr>
        <w:t>FIRST CLAUSE</w:t>
      </w:r>
    </w:p>
    <w:p>
      <w:pPr>
        <w:keepNext/>
        <w:spacing w:after="200" w:before="0" w:line="360" w:lineRule="auto"/>
        <w:jc w:val="center"/>
      </w:pPr>
      <w:r>
        <w:rPr>
          <w:rFonts w:ascii="Garamond" w:hAnsi="Garamond" w:eastAsia="Garamond" w:cs="Garamond"/>
          <w:b/>
          <w:i w:val="0"/>
          <w:sz w:val="24"/>
          <w:lang w:val="en-GB"/>
        </w:rPr>
        <w:t>Nature of the Services — Obligation of Means</w:t>
      </w:r>
    </w:p>
    <w:p>
      <w:pPr>
        <w:spacing w:after="240" w:before="0" w:line="360" w:lineRule="auto"/>
        <w:jc w:val="both"/>
      </w:pPr>
      <w:r>
        <w:rPr>
          <w:rFonts w:ascii="Garamond" w:hAnsi="Garamond" w:eastAsia="Garamond" w:cs="Garamond"/>
          <w:b w:val="0"/>
          <w:i w:val="0"/>
          <w:sz w:val="24"/>
          <w:lang w:val="en-GB"/>
        </w:rPr>
        <w:t>1. The Second Party undertakes to provide the Client, who accepts, with legal, documentary, strategic and administrative coordination services, within the limits and conditions set out in this contract, in full respect of the ethical and deontological principles governing the legal profession in Portugal.</w:t>
      </w:r>
    </w:p>
    <w:p>
      <w:pPr>
        <w:spacing w:after="240" w:before="0" w:line="360" w:lineRule="auto"/>
        <w:jc w:val="both"/>
      </w:pPr>
      <w:r>
        <w:rPr>
          <w:rFonts w:ascii="Garamond" w:hAnsi="Garamond" w:eastAsia="Garamond" w:cs="Garamond"/>
          <w:b w:val="0"/>
          <w:i w:val="0"/>
          <w:sz w:val="24"/>
          <w:lang w:val="en-GB"/>
        </w:rPr>
        <w:t>2. The legal services shall be rendered by Attorney Patrícia Soares Viana through the Second Party, on an independent, non-subordinate basis.</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Client expressly acknowledges and accepts that the services under this contract constitute an obligation of means and not an obligation of result.</w:t>
      </w:r>
      <w:r>
        <w:rPr>
          <w:rFonts w:ascii="Garamond" w:hAnsi="Garamond" w:eastAsia="Garamond" w:cs="Garamond"/>
          <w:b w:val="0"/>
          <w:i w:val="0"/>
          <w:sz w:val="24"/>
          <w:lang w:val="en-GB"/>
        </w:rPr>
        <w:t xml:space="preserve"> The Second Party undertakes to employ the diligence, technical competence and reasonable efforts required of a professional in the exercise of this activity, but does not undertake, and could not undertake, to achieve any particular outcome, which depends on decisions of third parties beyond its will and control.</w:t>
      </w:r>
    </w:p>
    <w:p>
      <w:pPr>
        <w:spacing w:after="240" w:before="0" w:line="360" w:lineRule="auto"/>
        <w:jc w:val="both"/>
      </w:pPr>
      <w:r>
        <w:rPr>
          <w:rFonts w:ascii="Garamond" w:hAnsi="Garamond" w:eastAsia="Garamond" w:cs="Garamond"/>
          <w:b w:val="0"/>
          <w:i w:val="0"/>
          <w:sz w:val="24"/>
          <w:lang w:val="en-GB"/>
        </w:rPr>
        <w:t xml:space="preserve">4. In particular, and without prejudice to the illustrative nature of this list, the Second Party </w:t>
      </w:r>
      <w:r>
        <w:rPr>
          <w:rFonts w:ascii="Garamond" w:hAnsi="Garamond" w:eastAsia="Garamond" w:cs="Garamond"/>
          <w:b/>
          <w:i w:val="0"/>
          <w:sz w:val="24"/>
          <w:lang w:val="en-GB"/>
        </w:rPr>
        <w:t>does not guarantee and cannot guarantee</w:t>
      </w:r>
      <w:r>
        <w:rPr>
          <w:rFonts w:ascii="Garamond" w:hAnsi="Garamond" w:eastAsia="Garamond" w:cs="Garamond"/>
          <w:b w:val="0"/>
          <w:i w:val="0"/>
          <w:sz w:val="24"/>
          <w:lang w:val="en-GB"/>
        </w:rPr>
        <w:t xml:space="preserve"> the assignment of the NIF, the opening of the bank account, the approval of the Client by the compliance department of any banking institution, the timeframe of either procedure, the acceptance of the documents submitted, the issuance or delivery of credentials, cards or access codes, the maintenance or continuity of any banking relationship once opened, the absence of requests for additional documents, or any decision dependent on the Tax and Customs Authority, on a banking institution or on any other entity.</w:t>
      </w:r>
    </w:p>
    <w:p>
      <w:pPr>
        <w:spacing w:after="240" w:before="0" w:line="360" w:lineRule="auto"/>
        <w:jc w:val="both"/>
      </w:pPr>
      <w:r>
        <w:rPr>
          <w:rFonts w:ascii="Garamond" w:hAnsi="Garamond" w:eastAsia="Garamond" w:cs="Garamond"/>
          <w:b w:val="0"/>
          <w:i w:val="0"/>
          <w:sz w:val="24"/>
          <w:lang w:val="en-GB"/>
        </w:rPr>
        <w:t>5. Any refusal, delay, request for additional documents, administrative silence, unavailability of systems or appointments, change of requirements or unfavourable decision shall not, by itself, constitute breach of contract by the Second Party and shall not entitle the Client to a refund of any fee already paid.</w:t>
      </w:r>
    </w:p>
    <w:p>
      <w:pPr>
        <w:spacing w:after="240" w:before="0" w:line="360" w:lineRule="auto"/>
        <w:jc w:val="both"/>
      </w:pPr>
      <w:r>
        <w:rPr>
          <w:rFonts w:ascii="Garamond" w:hAnsi="Garamond" w:eastAsia="Garamond" w:cs="Garamond"/>
          <w:b w:val="0"/>
          <w:i w:val="0"/>
          <w:sz w:val="24"/>
          <w:lang w:val="en-GB"/>
        </w:rPr>
        <w:t xml:space="preserve">6. The Client further acknowledges that the fees remunerate the professional work actually performed, including analysis, strategy, preparation, document review, coordination, communications, submissions and follow-up, and </w:t>
      </w:r>
      <w:r>
        <w:rPr>
          <w:rFonts w:ascii="Garamond" w:hAnsi="Garamond" w:eastAsia="Garamond" w:cs="Garamond"/>
          <w:b/>
          <w:i w:val="0"/>
          <w:sz w:val="24"/>
          <w:lang w:val="en-GB"/>
        </w:rPr>
        <w:t>are in no event conditional upon the success, approval or outcome of the process</w:t>
      </w:r>
      <w:r>
        <w:rPr>
          <w:rFonts w:ascii="Garamond" w:hAnsi="Garamond" w:eastAsia="Garamond" w:cs="Garamond"/>
          <w:b w:val="0"/>
          <w:i w:val="0"/>
          <w:sz w:val="24"/>
          <w:lang w:val="en-GB"/>
        </w:rPr>
        <w:t>.</w:t>
      </w:r>
    </w:p>
    <w:p>
      <w:pPr>
        <w:keepNext/>
        <w:spacing w:after="0" w:before="200" w:line="360" w:lineRule="auto"/>
        <w:jc w:val="center"/>
      </w:pPr>
      <w:r>
        <w:rPr>
          <w:rFonts w:ascii="Garamond" w:hAnsi="Garamond" w:eastAsia="Garamond" w:cs="Garamond"/>
          <w:b/>
          <w:i w:val="0"/>
          <w:sz w:val="24"/>
          <w:lang w:val="en-GB"/>
        </w:rPr>
        <w:t>SECOND CLAUSE</w:t>
      </w:r>
    </w:p>
    <w:p>
      <w:pPr>
        <w:keepNext/>
        <w:spacing w:after="200" w:before="0" w:line="360" w:lineRule="auto"/>
        <w:jc w:val="center"/>
      </w:pPr>
      <w:r>
        <w:rPr>
          <w:rFonts w:ascii="Garamond" w:hAnsi="Garamond" w:eastAsia="Garamond" w:cs="Garamond"/>
          <w:b/>
          <w:i w:val="0"/>
          <w:sz w:val="24"/>
          <w:lang w:val="en-GB"/>
        </w:rPr>
        <w:t>Object and Scope of Services</w:t>
      </w:r>
    </w:p>
    <w:p>
      <w:pPr>
        <w:spacing w:after="240" w:before="0" w:line="360" w:lineRule="auto"/>
        <w:jc w:val="both"/>
      </w:pPr>
      <w:r>
        <w:rPr>
          <w:rFonts w:ascii="Garamond" w:hAnsi="Garamond" w:eastAsia="Garamond" w:cs="Garamond"/>
          <w:b w:val="0"/>
          <w:i w:val="0"/>
          <w:sz w:val="24"/>
          <w:lang w:val="en-GB"/>
        </w:rPr>
        <w:t xml:space="preserve">1. This contract has as its object the provision, by the Second Party to the Client, of legal, documentary and administrative coordination services for the purpose of </w:t>
      </w:r>
      <w:r>
        <w:rPr>
          <w:rFonts w:ascii="Garamond" w:hAnsi="Garamond" w:eastAsia="Garamond" w:cs="Garamond"/>
          <w:b/>
          <w:i w:val="0"/>
          <w:sz w:val="24"/>
          <w:lang w:val="en-GB"/>
        </w:rPr>
        <w:t>applying for the assignment of a Portuguese Tax Identification Number (NIF)</w:t>
      </w:r>
      <w:r>
        <w:rPr>
          <w:rFonts w:ascii="Garamond" w:hAnsi="Garamond" w:eastAsia="Garamond" w:cs="Garamond"/>
          <w:b w:val="0"/>
          <w:i w:val="0"/>
          <w:sz w:val="24"/>
          <w:lang w:val="en-GB"/>
        </w:rPr>
        <w:t xml:space="preserve"> before the Tax and Customs Authority and of </w:t>
      </w:r>
      <w:r>
        <w:rPr>
          <w:rFonts w:ascii="Garamond" w:hAnsi="Garamond" w:eastAsia="Garamond" w:cs="Garamond"/>
          <w:b/>
          <w:i w:val="0"/>
          <w:sz w:val="24"/>
          <w:lang w:val="en-GB"/>
        </w:rPr>
        <w:t>preparing, submitting and following up a request for the opening of a bank account</w:t>
      </w:r>
      <w:r>
        <w:rPr>
          <w:rFonts w:ascii="Garamond" w:hAnsi="Garamond" w:eastAsia="Garamond" w:cs="Garamond"/>
          <w:b w:val="0"/>
          <w:i w:val="0"/>
          <w:sz w:val="24"/>
          <w:lang w:val="en-GB"/>
        </w:rPr>
        <w:t xml:space="preserve"> with a banking institution in Portugal, acting under powers of attorney granted by the Client for those purposes.</w:t>
      </w:r>
    </w:p>
    <w:p>
      <w:pPr>
        <w:spacing w:after="240" w:before="0" w:line="360" w:lineRule="auto"/>
        <w:jc w:val="both"/>
      </w:pPr>
      <w:r>
        <w:rPr>
          <w:rFonts w:ascii="Garamond" w:hAnsi="Garamond" w:eastAsia="Garamond" w:cs="Garamond"/>
          <w:b w:val="0"/>
          <w:i w:val="0"/>
          <w:sz w:val="24"/>
          <w:lang w:val="en-GB"/>
        </w:rPr>
        <w:t>2. Unless otherwise stated in writing, the contracted services include:</w:t>
      </w:r>
    </w:p>
    <w:p>
      <w:pPr>
        <w:spacing w:after="160" w:before="0" w:line="360" w:lineRule="auto"/>
        <w:ind w:left="504" w:hanging="504"/>
        <w:jc w:val="both"/>
      </w:pPr>
      <w:r>
        <w:rPr>
          <w:rFonts w:ascii="Garamond" w:hAnsi="Garamond" w:eastAsia="Garamond" w:cs="Garamond"/>
          <w:b w:val="0"/>
          <w:i w:val="0"/>
          <w:sz w:val="24"/>
          <w:lang w:val="en-GB"/>
        </w:rPr>
        <w:t>a) Legal assessment of the Client’s situation and confirmation of the documents required for the assignment of a Portuguese Tax Identification Number (NIF);</w:t>
      </w:r>
    </w:p>
    <w:p>
      <w:pPr>
        <w:spacing w:after="160" w:before="0" w:line="360" w:lineRule="auto"/>
        <w:ind w:left="504" w:hanging="504"/>
        <w:jc w:val="both"/>
      </w:pPr>
      <w:r>
        <w:rPr>
          <w:rFonts w:ascii="Garamond" w:hAnsi="Garamond" w:eastAsia="Garamond" w:cs="Garamond"/>
          <w:b w:val="0"/>
          <w:i w:val="0"/>
          <w:sz w:val="24"/>
          <w:lang w:val="en-GB"/>
        </w:rPr>
        <w:t>b) Preparation of the power of attorney and of the supporting documentation required by the Tax and Customs Authority (Autoridade Tributária e Aduaneira);</w:t>
      </w:r>
    </w:p>
    <w:p>
      <w:pPr>
        <w:spacing w:after="160" w:before="0" w:line="360" w:lineRule="auto"/>
        <w:ind w:left="504" w:hanging="504"/>
        <w:jc w:val="both"/>
      </w:pPr>
      <w:r>
        <w:rPr>
          <w:rFonts w:ascii="Garamond" w:hAnsi="Garamond" w:eastAsia="Garamond" w:cs="Garamond"/>
          <w:b w:val="0"/>
          <w:i w:val="0"/>
          <w:sz w:val="24"/>
          <w:lang w:val="en-GB"/>
        </w:rPr>
        <w:t>c) Review of the Client’s identification documents and of any proof of address required by the Tax and Customs Authority;</w:t>
      </w:r>
    </w:p>
    <w:p>
      <w:pPr>
        <w:spacing w:after="160" w:before="0" w:line="360" w:lineRule="auto"/>
        <w:ind w:left="504" w:hanging="504"/>
        <w:jc w:val="both"/>
      </w:pPr>
      <w:r>
        <w:rPr>
          <w:rFonts w:ascii="Garamond" w:hAnsi="Garamond" w:eastAsia="Garamond" w:cs="Garamond"/>
          <w:b w:val="0"/>
          <w:i w:val="0"/>
          <w:sz w:val="24"/>
          <w:lang w:val="en-GB"/>
        </w:rPr>
        <w:t>d) Submission of the application for the assignment of the NIF before the Tax and Customs Authority, acting under the power of attorney granted by the Client;</w:t>
      </w:r>
    </w:p>
    <w:p>
      <w:pPr>
        <w:spacing w:after="160" w:before="0" w:line="360" w:lineRule="auto"/>
        <w:ind w:left="504" w:hanging="504"/>
        <w:jc w:val="both"/>
      </w:pPr>
      <w:r>
        <w:rPr>
          <w:rFonts w:ascii="Garamond" w:hAnsi="Garamond" w:eastAsia="Garamond" w:cs="Garamond"/>
          <w:b w:val="0"/>
          <w:i w:val="0"/>
          <w:sz w:val="24"/>
          <w:lang w:val="en-GB"/>
        </w:rPr>
        <w:t>e) Acceptance of the role of tax representative of the Client before the Tax and Customs Authority for the period expressly agreed in the Fourth Clause, strictly for the purposes of receiving notifications, it being expressly agreed that the Second Party shall not act as manager of the Client’s assets or rights;</w:t>
      </w:r>
    </w:p>
    <w:p>
      <w:pPr>
        <w:spacing w:after="160" w:before="0" w:line="360" w:lineRule="auto"/>
        <w:ind w:left="504" w:hanging="504"/>
        <w:jc w:val="both"/>
      </w:pPr>
      <w:r>
        <w:rPr>
          <w:rFonts w:ascii="Garamond" w:hAnsi="Garamond" w:eastAsia="Garamond" w:cs="Garamond"/>
          <w:b w:val="0"/>
          <w:i w:val="0"/>
          <w:sz w:val="24"/>
          <w:lang w:val="en-GB"/>
        </w:rPr>
        <w:t>f) Request for the access credentials to the Portal das Finanças and delivery of such credentials to the Client;</w:t>
      </w:r>
    </w:p>
    <w:p>
      <w:pPr>
        <w:spacing w:after="160" w:before="0" w:line="360" w:lineRule="auto"/>
        <w:ind w:left="504" w:hanging="504"/>
        <w:jc w:val="both"/>
      </w:pPr>
      <w:r>
        <w:rPr>
          <w:rFonts w:ascii="Garamond" w:hAnsi="Garamond" w:eastAsia="Garamond" w:cs="Garamond"/>
          <w:b w:val="0"/>
          <w:i w:val="0"/>
          <w:sz w:val="24"/>
          <w:lang w:val="en-GB"/>
        </w:rPr>
        <w:t>g) Delivery to the Client of the document evidencing the assignment of the NIF, in the form issued by the Tax and Customs Authority;</w:t>
      </w:r>
    </w:p>
    <w:p>
      <w:pPr>
        <w:spacing w:after="160" w:before="0" w:line="360" w:lineRule="auto"/>
        <w:ind w:left="504" w:hanging="504"/>
        <w:jc w:val="both"/>
      </w:pPr>
      <w:r>
        <w:rPr>
          <w:rFonts w:ascii="Garamond" w:hAnsi="Garamond" w:eastAsia="Garamond" w:cs="Garamond"/>
          <w:b w:val="0"/>
          <w:i w:val="0"/>
          <w:sz w:val="24"/>
          <w:lang w:val="en-GB"/>
        </w:rPr>
        <w:t>h) Legal assessment of the Client’s situation and confirmation of the documents required by Portuguese banking institutions for the opening of an account by a non-resident;</w:t>
      </w:r>
    </w:p>
    <w:p>
      <w:pPr>
        <w:spacing w:after="160" w:before="0" w:line="360" w:lineRule="auto"/>
        <w:ind w:left="504" w:hanging="504"/>
        <w:jc w:val="both"/>
      </w:pPr>
      <w:r>
        <w:rPr>
          <w:rFonts w:ascii="Garamond" w:hAnsi="Garamond" w:eastAsia="Garamond" w:cs="Garamond"/>
          <w:b w:val="0"/>
          <w:i w:val="0"/>
          <w:sz w:val="24"/>
          <w:lang w:val="en-GB"/>
        </w:rPr>
        <w:t>i) Preparation of the power of attorney and of the supporting documentation required by the banking institution;</w:t>
      </w:r>
    </w:p>
    <w:p>
      <w:pPr>
        <w:spacing w:after="160" w:before="0" w:line="360" w:lineRule="auto"/>
        <w:ind w:left="504" w:hanging="504"/>
        <w:jc w:val="both"/>
      </w:pPr>
      <w:r>
        <w:rPr>
          <w:rFonts w:ascii="Garamond" w:hAnsi="Garamond" w:eastAsia="Garamond" w:cs="Garamond"/>
          <w:b w:val="0"/>
          <w:i w:val="0"/>
          <w:sz w:val="24"/>
          <w:lang w:val="en-GB"/>
        </w:rPr>
        <w:t>j) Review of the Client’s identification, tax and proof-of-income documents, and guidance on any corrections, translations, apostilles or certifications required by the bank;</w:t>
      </w:r>
    </w:p>
    <w:p>
      <w:pPr>
        <w:spacing w:after="160" w:before="0" w:line="360" w:lineRule="auto"/>
        <w:ind w:left="504" w:hanging="504"/>
        <w:jc w:val="both"/>
      </w:pPr>
      <w:r>
        <w:rPr>
          <w:rFonts w:ascii="Garamond" w:hAnsi="Garamond" w:eastAsia="Garamond" w:cs="Garamond"/>
          <w:b w:val="0"/>
          <w:i w:val="0"/>
          <w:sz w:val="24"/>
          <w:lang w:val="en-GB"/>
        </w:rPr>
        <w:t>k) Selection and approach of one or more banking institutions in Portugal, according to the strategy defined by the Second Party and the Client’s profile;</w:t>
      </w:r>
    </w:p>
    <w:p>
      <w:pPr>
        <w:spacing w:after="160" w:before="0" w:line="360" w:lineRule="auto"/>
        <w:ind w:left="504" w:hanging="504"/>
        <w:jc w:val="both"/>
      </w:pPr>
      <w:r>
        <w:rPr>
          <w:rFonts w:ascii="Garamond" w:hAnsi="Garamond" w:eastAsia="Garamond" w:cs="Garamond"/>
          <w:b w:val="0"/>
          <w:i w:val="0"/>
          <w:sz w:val="24"/>
          <w:lang w:val="en-GB"/>
        </w:rPr>
        <w:t>l) Submission of the account opening request and of the compliance file to the banking institution, acting under the power of attorney granted by the Client;</w:t>
      </w:r>
    </w:p>
    <w:p>
      <w:pPr>
        <w:spacing w:after="160" w:before="0" w:line="360" w:lineRule="auto"/>
        <w:ind w:left="504" w:hanging="504"/>
        <w:jc w:val="both"/>
      </w:pPr>
      <w:r>
        <w:rPr>
          <w:rFonts w:ascii="Garamond" w:hAnsi="Garamond" w:eastAsia="Garamond" w:cs="Garamond"/>
          <w:b w:val="0"/>
          <w:i w:val="0"/>
          <w:sz w:val="24"/>
          <w:lang w:val="en-GB"/>
        </w:rPr>
        <w:t>m) Completion and signature of the account opening forms, including FIN forms and any other documents required for the instruction of the process, within the powers granted;</w:t>
      </w:r>
    </w:p>
    <w:p>
      <w:pPr>
        <w:spacing w:after="160" w:before="0" w:line="360" w:lineRule="auto"/>
        <w:ind w:left="504" w:hanging="504"/>
        <w:jc w:val="both"/>
      </w:pPr>
      <w:r>
        <w:rPr>
          <w:rFonts w:ascii="Garamond" w:hAnsi="Garamond" w:eastAsia="Garamond" w:cs="Garamond"/>
          <w:b w:val="0"/>
          <w:i w:val="0"/>
          <w:sz w:val="24"/>
          <w:lang w:val="en-GB"/>
        </w:rPr>
        <w:t>n) Follow-up of the compliance review, and response to requests for additional information or documents made by the banking institution, where such requests fall within the original scope;</w:t>
      </w:r>
    </w:p>
    <w:p>
      <w:pPr>
        <w:spacing w:after="160" w:before="0" w:line="360" w:lineRule="auto"/>
        <w:ind w:left="504" w:hanging="504"/>
        <w:jc w:val="both"/>
      </w:pPr>
      <w:r>
        <w:rPr>
          <w:rFonts w:ascii="Garamond" w:hAnsi="Garamond" w:eastAsia="Garamond" w:cs="Garamond"/>
          <w:b w:val="0"/>
          <w:i w:val="0"/>
          <w:sz w:val="24"/>
          <w:lang w:val="en-GB"/>
        </w:rPr>
        <w:t>o) Collection and transmission to the Client of the account details, matrix card, access codes and security credentials issued by the bank, where the bank makes them available to the attorney;</w:t>
      </w:r>
    </w:p>
    <w:p>
      <w:pPr>
        <w:spacing w:after="160" w:before="0" w:line="360" w:lineRule="auto"/>
        <w:ind w:left="504" w:hanging="504"/>
        <w:jc w:val="both"/>
      </w:pPr>
      <w:r>
        <w:rPr>
          <w:rFonts w:ascii="Garamond" w:hAnsi="Garamond" w:eastAsia="Garamond" w:cs="Garamond"/>
          <w:b w:val="0"/>
          <w:i w:val="0"/>
          <w:sz w:val="24"/>
          <w:lang w:val="en-GB"/>
        </w:rPr>
        <w:t>p) Request of the bank declaration or statement required for immigration or consular purposes, where applicable;</w:t>
      </w:r>
    </w:p>
    <w:p>
      <w:pPr>
        <w:spacing w:after="160" w:before="0" w:line="360" w:lineRule="auto"/>
        <w:ind w:left="504" w:hanging="504"/>
        <w:jc w:val="both"/>
      </w:pPr>
      <w:r>
        <w:rPr>
          <w:rFonts w:ascii="Garamond" w:hAnsi="Garamond" w:eastAsia="Garamond" w:cs="Garamond"/>
          <w:b w:val="0"/>
          <w:i w:val="0"/>
          <w:sz w:val="24"/>
          <w:lang w:val="en-GB"/>
        </w:rPr>
        <w:t>q) Coordination between both procedures, it being expressly acknowledged that the opening of a bank account requires the prior assignment of the NIF;</w:t>
      </w:r>
    </w:p>
    <w:p>
      <w:pPr>
        <w:spacing w:after="160" w:before="0" w:line="360" w:lineRule="auto"/>
        <w:ind w:left="504" w:hanging="504"/>
        <w:jc w:val="both"/>
      </w:pPr>
      <w:r>
        <w:rPr>
          <w:rFonts w:ascii="Garamond" w:hAnsi="Garamond" w:eastAsia="Garamond" w:cs="Garamond"/>
          <w:b w:val="0"/>
          <w:i w:val="0"/>
          <w:sz w:val="24"/>
          <w:lang w:val="en-GB"/>
        </w:rPr>
        <w:t>r) Reasonable clarification of questions falling within the contractual scope.</w:t>
      </w:r>
    </w:p>
    <w:p>
      <w:pPr>
        <w:spacing w:after="240" w:before="0" w:line="360" w:lineRule="auto"/>
        <w:jc w:val="both"/>
      </w:pPr>
      <w:r>
        <w:rPr>
          <w:rFonts w:ascii="Garamond" w:hAnsi="Garamond" w:eastAsia="Garamond" w:cs="Garamond"/>
          <w:b w:val="0"/>
          <w:i w:val="0"/>
          <w:sz w:val="24"/>
          <w:lang w:val="en-GB"/>
        </w:rPr>
        <w:t>3. The Second Party shall not be bound by deadlines that fall under the responsibility of the Public Administration, the Tax and Customs Authority, banking institutions, courier services or any other third-party entity, and there is no guarantee of processing times or of a final favourable decision where such matters depend on third parties.</w:t>
      </w:r>
    </w:p>
    <w:p>
      <w:pPr>
        <w:keepNext/>
        <w:spacing w:after="0" w:before="200" w:line="360" w:lineRule="auto"/>
        <w:jc w:val="center"/>
      </w:pPr>
      <w:r>
        <w:rPr>
          <w:rFonts w:ascii="Garamond" w:hAnsi="Garamond" w:eastAsia="Garamond" w:cs="Garamond"/>
          <w:b/>
          <w:i w:val="0"/>
          <w:sz w:val="24"/>
          <w:lang w:val="en-GB"/>
        </w:rPr>
        <w:t>THIRD CLAUSE</w:t>
      </w:r>
    </w:p>
    <w:p>
      <w:pPr>
        <w:keepNext/>
        <w:spacing w:after="200" w:before="0" w:line="360" w:lineRule="auto"/>
        <w:jc w:val="center"/>
      </w:pPr>
      <w:r>
        <w:rPr>
          <w:rFonts w:ascii="Garamond" w:hAnsi="Garamond" w:eastAsia="Garamond" w:cs="Garamond"/>
          <w:b/>
          <w:i w:val="0"/>
          <w:sz w:val="24"/>
          <w:lang w:val="en-GB"/>
        </w:rPr>
        <w:t>Exclusions from the Scope of Services</w:t>
      </w:r>
    </w:p>
    <w:p>
      <w:pPr>
        <w:spacing w:after="240" w:before="0" w:line="360" w:lineRule="auto"/>
        <w:jc w:val="both"/>
      </w:pPr>
      <w:r>
        <w:rPr>
          <w:rFonts w:ascii="Garamond" w:hAnsi="Garamond" w:eastAsia="Garamond" w:cs="Garamond"/>
          <w:b w:val="0"/>
          <w:i w:val="0"/>
          <w:sz w:val="24"/>
          <w:lang w:val="en-GB"/>
        </w:rPr>
        <w:t>1. The following are expressly excluded from this contract, unless otherwise agreed in writing:</w:t>
      </w:r>
    </w:p>
    <w:p>
      <w:pPr>
        <w:spacing w:after="160" w:before="0" w:line="360" w:lineRule="auto"/>
        <w:ind w:left="504" w:hanging="504"/>
        <w:jc w:val="both"/>
      </w:pPr>
      <w:r>
        <w:rPr>
          <w:rFonts w:ascii="Garamond" w:hAnsi="Garamond" w:eastAsia="Garamond" w:cs="Garamond"/>
          <w:b w:val="0"/>
          <w:i w:val="0"/>
          <w:sz w:val="24"/>
          <w:lang w:val="en-GB"/>
        </w:rPr>
        <w:t>a) Tax advisory services, tax planning, determination of tax residence, submission of tax returns, or any act of tax compliance on behalf of the Client;</w:t>
      </w:r>
    </w:p>
    <w:p>
      <w:pPr>
        <w:spacing w:after="160" w:before="0" w:line="360" w:lineRule="auto"/>
        <w:ind w:left="504" w:hanging="504"/>
        <w:jc w:val="both"/>
      </w:pPr>
      <w:r>
        <w:rPr>
          <w:rFonts w:ascii="Garamond" w:hAnsi="Garamond" w:eastAsia="Garamond" w:cs="Garamond"/>
          <w:b w:val="0"/>
          <w:i w:val="0"/>
          <w:sz w:val="24"/>
          <w:lang w:val="en-GB"/>
        </w:rPr>
        <w:t>b) Continuation of the tax representation beyond the period expressly agreed in the Fourth Clause;</w:t>
      </w:r>
    </w:p>
    <w:p>
      <w:pPr>
        <w:spacing w:after="160" w:before="0" w:line="360" w:lineRule="auto"/>
        <w:ind w:left="504" w:hanging="504"/>
        <w:jc w:val="both"/>
      </w:pPr>
      <w:r>
        <w:rPr>
          <w:rFonts w:ascii="Garamond" w:hAnsi="Garamond" w:eastAsia="Garamond" w:cs="Garamond"/>
          <w:b w:val="0"/>
          <w:i w:val="0"/>
          <w:sz w:val="24"/>
          <w:lang w:val="en-GB"/>
        </w:rPr>
        <w:t>c) Any guarantee of approval by a banking institution, which is always subject to its internal compliance review, risk policies, know-your-customer rules and final commercial decision;</w:t>
      </w:r>
    </w:p>
    <w:p>
      <w:pPr>
        <w:spacing w:after="160" w:before="0" w:line="360" w:lineRule="auto"/>
        <w:ind w:left="504" w:hanging="504"/>
        <w:jc w:val="both"/>
      </w:pPr>
      <w:r>
        <w:rPr>
          <w:rFonts w:ascii="Garamond" w:hAnsi="Garamond" w:eastAsia="Garamond" w:cs="Garamond"/>
          <w:b w:val="0"/>
          <w:i w:val="0"/>
          <w:sz w:val="24"/>
          <w:lang w:val="en-GB"/>
        </w:rPr>
        <w:t>d) The deposit, transfer or movement of funds of any nature, the use of bank cards, or the contracting of financial products, credit agreements or investment instruments on behalf of the Client;</w:t>
      </w:r>
    </w:p>
    <w:p>
      <w:pPr>
        <w:spacing w:after="160" w:before="0" w:line="360" w:lineRule="auto"/>
        <w:ind w:left="504" w:hanging="504"/>
        <w:jc w:val="both"/>
      </w:pPr>
      <w:r>
        <w:rPr>
          <w:rFonts w:ascii="Garamond" w:hAnsi="Garamond" w:eastAsia="Garamond" w:cs="Garamond"/>
          <w:b w:val="0"/>
          <w:i w:val="0"/>
          <w:sz w:val="24"/>
          <w:lang w:val="en-GB"/>
        </w:rPr>
        <w:t>e) Any act of administration, disposal or management of the Client’s assets or rights in Portuguese territory;</w:t>
      </w:r>
    </w:p>
    <w:p>
      <w:pPr>
        <w:spacing w:after="160" w:before="0" w:line="360" w:lineRule="auto"/>
        <w:ind w:left="504" w:hanging="504"/>
        <w:jc w:val="both"/>
      </w:pPr>
      <w:r>
        <w:rPr>
          <w:rFonts w:ascii="Garamond" w:hAnsi="Garamond" w:eastAsia="Garamond" w:cs="Garamond"/>
          <w:b w:val="0"/>
          <w:i w:val="0"/>
          <w:sz w:val="24"/>
          <w:lang w:val="en-GB"/>
        </w:rPr>
        <w:t>f) Approaching further banking institutions after [NUMBER OF BANKS] institution(s) have refused or declined the application, which shall be subject to a separate quotation;</w:t>
      </w:r>
    </w:p>
    <w:p>
      <w:pPr>
        <w:spacing w:after="160" w:before="0" w:line="360" w:lineRule="auto"/>
        <w:ind w:left="504" w:hanging="504"/>
        <w:jc w:val="both"/>
      </w:pPr>
      <w:r>
        <w:rPr>
          <w:rFonts w:ascii="Garamond" w:hAnsi="Garamond" w:eastAsia="Garamond" w:cs="Garamond"/>
          <w:b w:val="0"/>
          <w:i w:val="0"/>
          <w:sz w:val="24"/>
          <w:lang w:val="en-GB"/>
        </w:rPr>
        <w:t>g) Any government fees, official charges, taxes, stamp duties or charges due to the Tax and Customs Authority, to banking institutions or to any other public or private entity;</w:t>
      </w:r>
    </w:p>
    <w:p>
      <w:pPr>
        <w:spacing w:after="160" w:before="0" w:line="360" w:lineRule="auto"/>
        <w:ind w:left="504" w:hanging="504"/>
        <w:jc w:val="both"/>
      </w:pPr>
      <w:r>
        <w:rPr>
          <w:rFonts w:ascii="Garamond" w:hAnsi="Garamond" w:eastAsia="Garamond" w:cs="Garamond"/>
          <w:b w:val="0"/>
          <w:i w:val="0"/>
          <w:sz w:val="24"/>
          <w:lang w:val="en-GB"/>
        </w:rPr>
        <w:t>h) Notarial costs, acknowledgment of signatures, certification of copies, apostilles and legalisations;</w:t>
      </w:r>
    </w:p>
    <w:p>
      <w:pPr>
        <w:spacing w:after="160" w:before="0" w:line="360" w:lineRule="auto"/>
        <w:ind w:left="504" w:hanging="504"/>
        <w:jc w:val="both"/>
      </w:pPr>
      <w:r>
        <w:rPr>
          <w:rFonts w:ascii="Garamond" w:hAnsi="Garamond" w:eastAsia="Garamond" w:cs="Garamond"/>
          <w:b w:val="0"/>
          <w:i w:val="0"/>
          <w:sz w:val="24"/>
          <w:lang w:val="en-GB"/>
        </w:rPr>
        <w:t>i) Certified, sworn or reviewed translations;</w:t>
      </w:r>
    </w:p>
    <w:p>
      <w:pPr>
        <w:spacing w:after="160" w:before="0" w:line="360" w:lineRule="auto"/>
        <w:ind w:left="504" w:hanging="504"/>
        <w:jc w:val="both"/>
      </w:pPr>
      <w:r>
        <w:rPr>
          <w:rFonts w:ascii="Garamond" w:hAnsi="Garamond" w:eastAsia="Garamond" w:cs="Garamond"/>
          <w:b w:val="0"/>
          <w:i w:val="0"/>
          <w:sz w:val="24"/>
          <w:lang w:val="en-GB"/>
        </w:rPr>
        <w:t>j) Postal, courier or shipping costs;</w:t>
      </w:r>
    </w:p>
    <w:p>
      <w:pPr>
        <w:spacing w:after="160" w:before="0" w:line="360" w:lineRule="auto"/>
        <w:ind w:left="504" w:hanging="504"/>
        <w:jc w:val="both"/>
      </w:pPr>
      <w:r>
        <w:rPr>
          <w:rFonts w:ascii="Garamond" w:hAnsi="Garamond" w:eastAsia="Garamond" w:cs="Garamond"/>
          <w:b w:val="0"/>
          <w:i w:val="0"/>
          <w:sz w:val="24"/>
          <w:lang w:val="en-GB"/>
        </w:rPr>
        <w:t>k) Travel expenses or personal attendance before authorities beyond what is expressly included in the Second Clause;</w:t>
      </w:r>
    </w:p>
    <w:p>
      <w:pPr>
        <w:spacing w:after="160" w:before="0" w:line="360" w:lineRule="auto"/>
        <w:ind w:left="504" w:hanging="504"/>
        <w:jc w:val="both"/>
      </w:pPr>
      <w:r>
        <w:rPr>
          <w:rFonts w:ascii="Garamond" w:hAnsi="Garamond" w:eastAsia="Garamond" w:cs="Garamond"/>
          <w:b w:val="0"/>
          <w:i w:val="0"/>
          <w:sz w:val="24"/>
          <w:lang w:val="en-GB"/>
        </w:rPr>
        <w:t>l) The obtaining, correction or issuance of documents by foreign authorities, consulates, registries, employers or banks of the Client’s country of origin or residence;</w:t>
      </w:r>
    </w:p>
    <w:p>
      <w:pPr>
        <w:spacing w:after="160" w:before="0" w:line="360" w:lineRule="auto"/>
        <w:ind w:left="504" w:hanging="504"/>
        <w:jc w:val="both"/>
      </w:pPr>
      <w:r>
        <w:rPr>
          <w:rFonts w:ascii="Garamond" w:hAnsi="Garamond" w:eastAsia="Garamond" w:cs="Garamond"/>
          <w:b w:val="0"/>
          <w:i w:val="0"/>
          <w:sz w:val="24"/>
          <w:lang w:val="en-GB"/>
        </w:rPr>
        <w:t>m) Any liability of the Second Party arising from false, incorrect, inconsistent, incomplete, outdated or misleading data or documents provided by the Client;</w:t>
      </w:r>
    </w:p>
    <w:p>
      <w:pPr>
        <w:spacing w:after="160" w:before="0" w:line="360" w:lineRule="auto"/>
        <w:ind w:left="504" w:hanging="504"/>
        <w:jc w:val="both"/>
      </w:pPr>
      <w:r>
        <w:rPr>
          <w:rFonts w:ascii="Garamond" w:hAnsi="Garamond" w:eastAsia="Garamond" w:cs="Garamond"/>
          <w:b w:val="0"/>
          <w:i w:val="0"/>
          <w:sz w:val="24"/>
          <w:lang w:val="en-GB"/>
        </w:rPr>
        <w:t>n) Appeals, administrative complaints, judicial proceedings, new applications, resubmissions or any substantial additional work following a refusal, rejection, unfavourable decision or administrative silence.</w:t>
      </w:r>
    </w:p>
    <w:p>
      <w:pPr>
        <w:spacing w:after="240" w:before="0" w:line="360" w:lineRule="auto"/>
        <w:jc w:val="both"/>
      </w:pPr>
      <w:r>
        <w:rPr>
          <w:rFonts w:ascii="Garamond" w:hAnsi="Garamond" w:eastAsia="Garamond" w:cs="Garamond"/>
          <w:b w:val="0"/>
          <w:i w:val="0"/>
          <w:sz w:val="24"/>
          <w:lang w:val="en-GB"/>
        </w:rPr>
        <w:t>2. Any work requested by the Client beyond the agreed scope shall require prior approval by the Second Party and may be subject to additional fees, to be formalised by written addendum or new proposal.</w:t>
      </w:r>
    </w:p>
    <w:p>
      <w:pPr>
        <w:keepNext/>
        <w:spacing w:after="0" w:before="200" w:line="360" w:lineRule="auto"/>
        <w:jc w:val="center"/>
      </w:pPr>
      <w:r>
        <w:rPr>
          <w:rFonts w:ascii="Garamond" w:hAnsi="Garamond" w:eastAsia="Garamond" w:cs="Garamond"/>
          <w:b/>
          <w:i w:val="0"/>
          <w:sz w:val="24"/>
          <w:lang w:val="en-GB"/>
        </w:rPr>
        <w:t>FOURTH CLAUSE</w:t>
      </w:r>
    </w:p>
    <w:p>
      <w:pPr>
        <w:keepNext/>
        <w:spacing w:after="200" w:before="0" w:line="360" w:lineRule="auto"/>
        <w:jc w:val="center"/>
      </w:pPr>
      <w:r>
        <w:rPr>
          <w:rFonts w:ascii="Garamond" w:hAnsi="Garamond" w:eastAsia="Garamond" w:cs="Garamond"/>
          <w:b/>
          <w:i w:val="0"/>
          <w:sz w:val="24"/>
          <w:lang w:val="en-GB"/>
        </w:rPr>
        <w:t>Fees and Payment Terms</w:t>
      </w:r>
    </w:p>
    <w:p>
      <w:pPr>
        <w:spacing w:after="240" w:before="0" w:line="360" w:lineRule="auto"/>
        <w:jc w:val="both"/>
      </w:pPr>
      <w:r>
        <w:rPr>
          <w:rFonts w:ascii="Garamond" w:hAnsi="Garamond" w:eastAsia="Garamond" w:cs="Garamond"/>
          <w:b w:val="0"/>
          <w:i w:val="0"/>
          <w:sz w:val="24"/>
          <w:lang w:val="en-GB"/>
        </w:rPr>
        <w:t xml:space="preserve">1. The total fee for the services described in this contract is </w:t>
      </w:r>
      <w:r>
        <w:rPr>
          <w:rFonts w:ascii="Garamond" w:hAnsi="Garamond" w:eastAsia="Garamond" w:cs="Garamond"/>
          <w:b/>
          <w:i w:val="0"/>
          <w:sz w:val="24"/>
          <w:lang w:val="en-GB"/>
        </w:rPr>
        <w:t>€[TOTAL FEE] ([FEE IN WORDS] euros)</w:t>
      </w:r>
      <w:r>
        <w:rPr>
          <w:rFonts w:ascii="Garamond" w:hAnsi="Garamond" w:eastAsia="Garamond" w:cs="Garamond"/>
          <w:b w:val="0"/>
          <w:i w:val="0"/>
          <w:sz w:val="24"/>
          <w:lang w:val="en-GB"/>
        </w:rPr>
        <w:t>, VAT included.</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fee is payable in full, in advance, upon engagement and before the commencement of any work by the Second Party.</w:t>
      </w:r>
      <w:r>
        <w:rPr>
          <w:rFonts w:ascii="Garamond" w:hAnsi="Garamond" w:eastAsia="Garamond" w:cs="Garamond"/>
          <w:b w:val="0"/>
          <w:i w:val="0"/>
          <w:sz w:val="24"/>
          <w:lang w:val="en-GB"/>
        </w:rPr>
        <w:t xml:space="preserve"> This contract shall only enter into force upon confirmation of the cleared payment.</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fee is due for the professional work performed and not for the outcome obtained</w:t>
      </w:r>
      <w:r>
        <w:rPr>
          <w:rFonts w:ascii="Garamond" w:hAnsi="Garamond" w:eastAsia="Garamond" w:cs="Garamond"/>
          <w:b w:val="0"/>
          <w:i w:val="0"/>
          <w:sz w:val="24"/>
          <w:lang w:val="en-GB"/>
        </w:rPr>
        <w:t>, and is due in full even if the application is refused, delayed, or if additional documents are required by the competent entity.</w:t>
      </w:r>
    </w:p>
    <w:p>
      <w:pPr>
        <w:spacing w:after="240" w:before="0" w:line="360" w:lineRule="auto"/>
        <w:jc w:val="both"/>
      </w:pPr>
      <w:r>
        <w:rPr>
          <w:rFonts w:ascii="Garamond" w:hAnsi="Garamond" w:eastAsia="Garamond" w:cs="Garamond"/>
          <w:b w:val="0"/>
          <w:i w:val="0"/>
          <w:sz w:val="24"/>
          <w:lang w:val="en-GB"/>
        </w:rPr>
        <w:t>4. The amount referred to above covers exclusively the services expressly included in the Second Clause. It does not include any of the costs listed in the Third Clause, which shall be borne separately by the Client.</w:t>
      </w:r>
    </w:p>
    <w:p>
      <w:pPr>
        <w:spacing w:after="240" w:before="0" w:line="360" w:lineRule="auto"/>
        <w:jc w:val="both"/>
      </w:pPr>
      <w:r>
        <w:rPr>
          <w:rFonts w:ascii="Garamond" w:hAnsi="Garamond" w:eastAsia="Garamond" w:cs="Garamond"/>
          <w:b w:val="0"/>
          <w:i w:val="0"/>
          <w:sz w:val="24"/>
          <w:lang w:val="en-GB"/>
        </w:rPr>
        <w:t>5. Where the Second Party acts as tax representative, such representation is included for a period of [REPRESENTATION PERIOD] as from the assignment of the NIF. Its renewal is subject to a separate fee and to the express agreement of both parties.</w:t>
      </w:r>
    </w:p>
    <w:p>
      <w:pPr>
        <w:spacing w:after="240" w:before="0" w:line="360" w:lineRule="auto"/>
        <w:jc w:val="both"/>
      </w:pPr>
      <w:r>
        <w:rPr>
          <w:rFonts w:ascii="Garamond" w:hAnsi="Garamond" w:eastAsia="Garamond" w:cs="Garamond"/>
          <w:b w:val="0"/>
          <w:i w:val="0"/>
          <w:sz w:val="24"/>
          <w:lang w:val="en-GB"/>
        </w:rPr>
        <w:t>6. The Second Party shall not be required to commence or continue the provision of services, prepare documents, submit applications or coordinate with third parties before the corresponding payment has been received in full and cleared.</w:t>
      </w:r>
    </w:p>
    <w:p>
      <w:pPr>
        <w:spacing w:after="240" w:before="0" w:line="360" w:lineRule="auto"/>
        <w:jc w:val="both"/>
      </w:pPr>
      <w:r>
        <w:rPr>
          <w:rFonts w:ascii="Garamond" w:hAnsi="Garamond" w:eastAsia="Garamond" w:cs="Garamond"/>
          <w:b w:val="0"/>
          <w:i w:val="0"/>
          <w:sz w:val="24"/>
          <w:lang w:val="en-GB"/>
        </w:rPr>
        <w:t>7. Where there are international bank transfers, currency conversion costs, bank charges or remittance fees, such costs shall be borne exclusively by the Client, and the net amount received by the Second Party must correspond in full to the agreed fee.</w:t>
      </w:r>
    </w:p>
    <w:p>
      <w:pPr>
        <w:keepNext/>
        <w:spacing w:after="0" w:before="200" w:line="360" w:lineRule="auto"/>
        <w:jc w:val="center"/>
      </w:pPr>
      <w:r>
        <w:rPr>
          <w:rFonts w:ascii="Garamond" w:hAnsi="Garamond" w:eastAsia="Garamond" w:cs="Garamond"/>
          <w:b/>
          <w:i w:val="0"/>
          <w:sz w:val="24"/>
          <w:lang w:val="en-GB"/>
        </w:rPr>
        <w:t>FIFTH CLAUSE</w:t>
      </w:r>
    </w:p>
    <w:p>
      <w:pPr>
        <w:keepNext/>
        <w:spacing w:after="200" w:before="0" w:line="360" w:lineRule="auto"/>
        <w:jc w:val="center"/>
      </w:pPr>
      <w:r>
        <w:rPr>
          <w:rFonts w:ascii="Garamond" w:hAnsi="Garamond" w:eastAsia="Garamond" w:cs="Garamond"/>
          <w:b/>
          <w:i w:val="0"/>
          <w:sz w:val="24"/>
          <w:lang w:val="en-GB"/>
        </w:rPr>
        <w:t>Right of Withdrawal, Immediate Commencement and Proportional Payment</w:t>
      </w:r>
    </w:p>
    <w:p>
      <w:pPr>
        <w:spacing w:after="240" w:before="0" w:line="360" w:lineRule="auto"/>
        <w:jc w:val="both"/>
      </w:pPr>
      <w:r>
        <w:rPr>
          <w:rFonts w:ascii="Garamond" w:hAnsi="Garamond" w:eastAsia="Garamond" w:cs="Garamond"/>
          <w:b w:val="0"/>
          <w:i w:val="0"/>
          <w:sz w:val="24"/>
          <w:lang w:val="en-GB"/>
        </w:rPr>
        <w:t xml:space="preserve">1. Where the Client is a consumer within the meaning of Article 3(c) of Decree-Law no. 24/2014, of 14 February, and this contract is concluded at a distance or away from business premises, the Client has the right to withdraw from this contract within </w:t>
      </w:r>
      <w:r>
        <w:rPr>
          <w:rFonts w:ascii="Garamond" w:hAnsi="Garamond" w:eastAsia="Garamond" w:cs="Garamond"/>
          <w:b/>
          <w:i w:val="0"/>
          <w:sz w:val="24"/>
          <w:lang w:val="en-GB"/>
        </w:rPr>
        <w:t>14 (fourteen) days</w:t>
      </w:r>
      <w:r>
        <w:rPr>
          <w:rFonts w:ascii="Garamond" w:hAnsi="Garamond" w:eastAsia="Garamond" w:cs="Garamond"/>
          <w:b w:val="0"/>
          <w:i w:val="0"/>
          <w:sz w:val="24"/>
          <w:lang w:val="en-GB"/>
        </w:rPr>
        <w:t xml:space="preserve"> from the date of its conclusion, under Article 10(1)(a) of that Decree-Law, without need to state any reason.</w:t>
      </w:r>
    </w:p>
    <w:p>
      <w:pPr>
        <w:spacing w:after="240" w:before="0" w:line="360" w:lineRule="auto"/>
        <w:jc w:val="both"/>
      </w:pPr>
      <w:r>
        <w:rPr>
          <w:rFonts w:ascii="Garamond" w:hAnsi="Garamond" w:eastAsia="Garamond" w:cs="Garamond"/>
          <w:b w:val="0"/>
          <w:i w:val="0"/>
          <w:sz w:val="24"/>
          <w:lang w:val="en-GB"/>
        </w:rPr>
        <w:t>2. To exercise that right, the Client must inform the Second Party of the decision to withdraw by an unequivocal statement sent to the email address indicated in this contract, and may use the withdrawal form set out in Part C of Annex I, which forms an integral part of this contract. It is sufficient that the communication be sent before the end of the 14-day period.</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Client expressly requests the Second Party to commence the provision of the contracted services immediately, before the end of the withdrawal period.</w:t>
      </w:r>
      <w:r>
        <w:rPr>
          <w:rFonts w:ascii="Garamond" w:hAnsi="Garamond" w:eastAsia="Garamond" w:cs="Garamond"/>
          <w:b w:val="0"/>
          <w:i w:val="0"/>
          <w:sz w:val="24"/>
          <w:lang w:val="en-GB"/>
        </w:rPr>
        <w:t xml:space="preserve"> That request is made in a durable medium, in the terms required by Article 15(1) of Decree-Law no. 24/2014, by signing Part A of Annex I.</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expressly acknowledges that, having made that request, if the Client withdraws from the contract after the services have begun, the Client shall pay an amount proportional to the services actually provided</w:t>
      </w:r>
      <w:r>
        <w:rPr>
          <w:rFonts w:ascii="Garamond" w:hAnsi="Garamond" w:eastAsia="Garamond" w:cs="Garamond"/>
          <w:b w:val="0"/>
          <w:i w:val="0"/>
          <w:sz w:val="24"/>
          <w:lang w:val="en-GB"/>
        </w:rPr>
        <w:t xml:space="preserve"> up to the moment the withdrawal is communicated, under Article 15(2) of Decree-Law no. 24/2014. That amount shall be calculated by reference to the phases initiated or completed and to the percentages allocated to them in the Eleventh Clause, which the parties agree reflect the actual distribution of the work involved.</w:t>
      </w:r>
    </w:p>
    <w:p>
      <w:pPr>
        <w:spacing w:after="240" w:before="0" w:line="360" w:lineRule="auto"/>
        <w:jc w:val="both"/>
      </w:pPr>
      <w:r>
        <w:rPr>
          <w:rFonts w:ascii="Garamond" w:hAnsi="Garamond" w:eastAsia="Garamond" w:cs="Garamond"/>
          <w:b w:val="0"/>
          <w:i w:val="0"/>
          <w:sz w:val="24"/>
          <w:lang w:val="en-GB"/>
        </w:rPr>
        <w:t xml:space="preserve">5. </w:t>
      </w:r>
      <w:r>
        <w:rPr>
          <w:rFonts w:ascii="Garamond" w:hAnsi="Garamond" w:eastAsia="Garamond" w:cs="Garamond"/>
          <w:b/>
          <w:i w:val="0"/>
          <w:sz w:val="24"/>
          <w:lang w:val="en-GB"/>
        </w:rPr>
        <w:t>The Client further expressly acknowledges that, once the contracted services have been fully performed with the Client’s prior express consent, the Client loses the right of withdrawal</w:t>
      </w:r>
      <w:r>
        <w:rPr>
          <w:rFonts w:ascii="Garamond" w:hAnsi="Garamond" w:eastAsia="Garamond" w:cs="Garamond"/>
          <w:b w:val="0"/>
          <w:i w:val="0"/>
          <w:sz w:val="24"/>
          <w:lang w:val="en-GB"/>
        </w:rPr>
        <w:t>, under Article 17(1)(a) of Decree-Law no. 24/2014. That consent and that acknowledgement are given by signing Part A of Annex I, before the commencement of the services.</w:t>
      </w:r>
    </w:p>
    <w:p>
      <w:pPr>
        <w:spacing w:after="240" w:before="0" w:line="360" w:lineRule="auto"/>
        <w:jc w:val="both"/>
      </w:pPr>
      <w:r>
        <w:rPr>
          <w:rFonts w:ascii="Garamond" w:hAnsi="Garamond" w:eastAsia="Garamond" w:cs="Garamond"/>
          <w:b w:val="0"/>
          <w:i w:val="0"/>
          <w:sz w:val="24"/>
          <w:lang w:val="en-GB"/>
        </w:rPr>
        <w:t>6. For the purposes of the preceding paragraph, the services are deemed fully performed upon the delivery to the Client, by email, of the document evidencing the assignment of the NIF, of the access credentials to the Portal das Finanças and of the account details and credentials made available by the banking institution, or, where the institution refuses the application, the communication of that refusal to the Client, and the date of that communication shall be recorded by the Second Party.</w:t>
      </w:r>
    </w:p>
    <w:p>
      <w:pPr>
        <w:spacing w:after="240" w:before="0" w:line="360" w:lineRule="auto"/>
        <w:jc w:val="both"/>
      </w:pPr>
      <w:r>
        <w:rPr>
          <w:rFonts w:ascii="Garamond" w:hAnsi="Garamond" w:eastAsia="Garamond" w:cs="Garamond"/>
          <w:b w:val="0"/>
          <w:i w:val="0"/>
          <w:sz w:val="24"/>
          <w:lang w:val="en-GB"/>
        </w:rPr>
        <w:t xml:space="preserve">7. The right of withdrawal set out in this clause </w:t>
      </w:r>
      <w:r>
        <w:rPr>
          <w:rFonts w:ascii="Garamond" w:hAnsi="Garamond" w:eastAsia="Garamond" w:cs="Garamond"/>
          <w:b/>
          <w:i w:val="0"/>
          <w:sz w:val="24"/>
          <w:lang w:val="en-GB"/>
        </w:rPr>
        <w:t>does not apply</w:t>
      </w:r>
      <w:r>
        <w:rPr>
          <w:rFonts w:ascii="Garamond" w:hAnsi="Garamond" w:eastAsia="Garamond" w:cs="Garamond"/>
          <w:b w:val="0"/>
          <w:i w:val="0"/>
          <w:sz w:val="24"/>
          <w:lang w:val="en-GB"/>
        </w:rPr>
        <w:t xml:space="preserve"> where the Client is not a consumer, namely where the Client acts within the scope of a commercial, industrial, artisanal or professional activity, or where this contract is signed in person at the premises of the Second Party. In such cases the remaining clauses of this contract apply in full.</w:t>
      </w:r>
    </w:p>
    <w:p>
      <w:pPr>
        <w:spacing w:after="240" w:before="0" w:line="360" w:lineRule="auto"/>
        <w:jc w:val="both"/>
      </w:pPr>
      <w:r>
        <w:rPr>
          <w:rFonts w:ascii="Garamond" w:hAnsi="Garamond" w:eastAsia="Garamond" w:cs="Garamond"/>
          <w:b w:val="0"/>
          <w:i w:val="0"/>
          <w:sz w:val="24"/>
          <w:lang w:val="en-GB"/>
        </w:rPr>
        <w:t>8. From the moment this contract enters into force, the Second Party may begin work immediately, including internal case analysis, legal review, checklist preparation, client onboarding, preparation of the power of attorney and of the forms, communication and coordination with third parties, submission attempts, administrative preparation and strategic planning.</w:t>
      </w:r>
    </w:p>
    <w:p>
      <w:pPr>
        <w:spacing w:after="240" w:before="0" w:line="360" w:lineRule="auto"/>
        <w:jc w:val="both"/>
      </w:pPr>
      <w:r>
        <w:rPr>
          <w:rFonts w:ascii="Garamond" w:hAnsi="Garamond" w:eastAsia="Garamond" w:cs="Garamond"/>
          <w:b w:val="0"/>
          <w:i w:val="0"/>
          <w:sz w:val="24"/>
          <w:lang w:val="en-GB"/>
        </w:rPr>
        <w:t>9. The Client acknowledges that these initial steps constitute effective performance of the contracted services and generate professional work, internal allocation of time and administrative action from the outset.</w:t>
      </w:r>
    </w:p>
    <w:p>
      <w:pPr>
        <w:keepNext/>
        <w:spacing w:after="0" w:before="200" w:line="360" w:lineRule="auto"/>
        <w:jc w:val="center"/>
      </w:pPr>
      <w:r>
        <w:rPr>
          <w:rFonts w:ascii="Garamond" w:hAnsi="Garamond" w:eastAsia="Garamond" w:cs="Garamond"/>
          <w:b/>
          <w:i w:val="0"/>
          <w:sz w:val="24"/>
          <w:lang w:val="en-GB"/>
        </w:rPr>
        <w:t>SIXTH CLAUSE</w:t>
      </w:r>
    </w:p>
    <w:p>
      <w:pPr>
        <w:keepNext/>
        <w:spacing w:after="200" w:before="0" w:line="360" w:lineRule="auto"/>
        <w:jc w:val="center"/>
      </w:pPr>
      <w:r>
        <w:rPr>
          <w:rFonts w:ascii="Garamond" w:hAnsi="Garamond" w:eastAsia="Garamond" w:cs="Garamond"/>
          <w:b/>
          <w:i w:val="0"/>
          <w:sz w:val="24"/>
          <w:lang w:val="en-GB"/>
        </w:rPr>
        <w:t>Client Cooperation, Documentation and Delays</w:t>
      </w:r>
    </w:p>
    <w:p>
      <w:pPr>
        <w:spacing w:after="240" w:before="0" w:line="360" w:lineRule="auto"/>
        <w:jc w:val="both"/>
      </w:pPr>
      <w:r>
        <w:rPr>
          <w:rFonts w:ascii="Garamond" w:hAnsi="Garamond" w:eastAsia="Garamond" w:cs="Garamond"/>
          <w:b w:val="0"/>
          <w:i w:val="0"/>
          <w:sz w:val="24"/>
          <w:lang w:val="en-GB"/>
        </w:rPr>
        <w:t>1. The Client undertakes to cooperate actively, diligently and in good faith throughout the entire process, and is solely responsible for providing complete, accurate, truthful, updated and properly formatted documents and information within the deadlines indicated by the Second Party.</w:t>
      </w:r>
    </w:p>
    <w:p>
      <w:pPr>
        <w:spacing w:after="240" w:before="0" w:line="360" w:lineRule="auto"/>
        <w:jc w:val="both"/>
      </w:pPr>
      <w:r>
        <w:rPr>
          <w:rFonts w:ascii="Garamond" w:hAnsi="Garamond" w:eastAsia="Garamond" w:cs="Garamond"/>
          <w:b w:val="0"/>
          <w:i w:val="0"/>
          <w:sz w:val="24"/>
          <w:lang w:val="en-GB"/>
        </w:rPr>
        <w:t>2. The Client acknowledges that the progress of the services depends directly on the timely provision of documents, information, signatures, payments, confirmations and authorisations, including the signature and, where required, the notarisation or apostille of the power of attorney.</w:t>
      </w:r>
    </w:p>
    <w:p>
      <w:pPr>
        <w:spacing w:after="240" w:before="0" w:line="360" w:lineRule="auto"/>
        <w:jc w:val="both"/>
      </w:pPr>
      <w:r>
        <w:rPr>
          <w:rFonts w:ascii="Garamond" w:hAnsi="Garamond" w:eastAsia="Garamond" w:cs="Garamond"/>
          <w:b w:val="0"/>
          <w:i w:val="0"/>
          <w:sz w:val="24"/>
          <w:lang w:val="en-GB"/>
        </w:rPr>
        <w:t>3. Any delay, refusal, omission, incomplete submission, illegible document, inconsistent information or lack of cooperation by the Client may delay, suspend or prevent the continuation of the process, without any liability being attributed to the Second Party.</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shall not be entitled to a refund, reduction of fees or compensation</w:t>
      </w:r>
      <w:r>
        <w:rPr>
          <w:rFonts w:ascii="Garamond" w:hAnsi="Garamond" w:eastAsia="Garamond" w:cs="Garamond"/>
          <w:b w:val="0"/>
          <w:i w:val="0"/>
          <w:sz w:val="24"/>
          <w:lang w:val="en-GB"/>
        </w:rPr>
        <w:t xml:space="preserve"> where the delay or impossibility of progress results from the Client’s failure to provide documents, information, signatures, confirmations or cooperation required for the proper performance of the services.</w:t>
      </w:r>
    </w:p>
    <w:p>
      <w:pPr>
        <w:spacing w:after="240" w:before="0" w:line="360" w:lineRule="auto"/>
        <w:jc w:val="both"/>
      </w:pPr>
      <w:r>
        <w:rPr>
          <w:rFonts w:ascii="Garamond" w:hAnsi="Garamond" w:eastAsia="Garamond" w:cs="Garamond"/>
          <w:b w:val="0"/>
          <w:i w:val="0"/>
          <w:sz w:val="24"/>
          <w:lang w:val="en-GB"/>
        </w:rPr>
        <w:t xml:space="preserve">5. If the Client fails to provide the requested documents or information for more than 30 (thirty) consecutive days, the Second Party may suspend the services until the required cooperation is provided. If such lack of cooperation continues for more than 60 (sixty) consecutive days, </w:t>
      </w:r>
      <w:r>
        <w:rPr>
          <w:rFonts w:ascii="Garamond" w:hAnsi="Garamond" w:eastAsia="Garamond" w:cs="Garamond"/>
          <w:b/>
          <w:i w:val="0"/>
          <w:sz w:val="24"/>
          <w:lang w:val="en-GB"/>
        </w:rPr>
        <w:t>the Second Party may consider this contract terminated due to non-cooperation, without any obligation to refund the fees paid</w:t>
      </w:r>
      <w:r>
        <w:rPr>
          <w:rFonts w:ascii="Garamond" w:hAnsi="Garamond" w:eastAsia="Garamond" w:cs="Garamond"/>
          <w:b w:val="0"/>
          <w:i w:val="0"/>
          <w:sz w:val="24"/>
          <w:lang w:val="en-GB"/>
        </w:rPr>
        <w:t xml:space="preserve"> in respect of work already commenced or performed.</w:t>
      </w:r>
    </w:p>
    <w:p>
      <w:pPr>
        <w:keepNext/>
        <w:spacing w:after="0" w:before="200" w:line="360" w:lineRule="auto"/>
        <w:jc w:val="center"/>
      </w:pPr>
      <w:r>
        <w:rPr>
          <w:rFonts w:ascii="Garamond" w:hAnsi="Garamond" w:eastAsia="Garamond" w:cs="Garamond"/>
          <w:b/>
          <w:i w:val="0"/>
          <w:sz w:val="24"/>
          <w:lang w:val="en-GB"/>
        </w:rPr>
        <w:t>SEVENTH CLAUSE</w:t>
      </w:r>
    </w:p>
    <w:p>
      <w:pPr>
        <w:keepNext/>
        <w:spacing w:after="200" w:before="0" w:line="360" w:lineRule="auto"/>
        <w:jc w:val="center"/>
      </w:pPr>
      <w:r>
        <w:rPr>
          <w:rFonts w:ascii="Garamond" w:hAnsi="Garamond" w:eastAsia="Garamond" w:cs="Garamond"/>
          <w:b/>
          <w:i w:val="0"/>
          <w:sz w:val="24"/>
          <w:lang w:val="en-GB"/>
        </w:rPr>
        <w:t>Third-Party Availability, Systems and Compliance</w:t>
      </w:r>
    </w:p>
    <w:p>
      <w:pPr>
        <w:spacing w:after="240" w:before="0" w:line="360" w:lineRule="auto"/>
        <w:jc w:val="both"/>
      </w:pPr>
      <w:r>
        <w:rPr>
          <w:rFonts w:ascii="Garamond" w:hAnsi="Garamond" w:eastAsia="Garamond" w:cs="Garamond"/>
          <w:b w:val="0"/>
          <w:i w:val="0"/>
          <w:sz w:val="24"/>
          <w:lang w:val="en-GB"/>
        </w:rPr>
        <w:t>1. The Client acknowledges that the availability of acts, electronic platforms, appointment slots, offices and procedures at the Tax and Customs Authority, banking institutions and any other public or private entity is entirely outside the control of the Second Party.</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opening of a bank account is always subject to the internal compliance review, risk policies, know-your-customer rules and final commercial decision of the banking institution.</w:t>
      </w:r>
      <w:r>
        <w:rPr>
          <w:rFonts w:ascii="Garamond" w:hAnsi="Garamond" w:eastAsia="Garamond" w:cs="Garamond"/>
          <w:b w:val="0"/>
          <w:i w:val="0"/>
          <w:sz w:val="24"/>
          <w:lang w:val="en-GB"/>
        </w:rPr>
        <w:t xml:space="preserve"> The Second Party cannot guarantee approval, acceptance, timing, conditions or continuity of any banking relationship, and the refusal of the Client by one or more institutions does not constitute breach of this contract.</w:t>
      </w:r>
    </w:p>
    <w:p>
      <w:pPr>
        <w:spacing w:after="240" w:before="0" w:line="360" w:lineRule="auto"/>
        <w:jc w:val="both"/>
      </w:pPr>
      <w:r>
        <w:rPr>
          <w:rFonts w:ascii="Garamond" w:hAnsi="Garamond" w:eastAsia="Garamond" w:cs="Garamond"/>
          <w:b w:val="0"/>
          <w:i w:val="0"/>
          <w:sz w:val="24"/>
          <w:lang w:val="en-GB"/>
        </w:rPr>
        <w:t>3. The Client acknowledges that banking institutions may require additional documents, certifications, proof of source of funds, or the personal presence of the Client, and that such requirements are imposed by the institution and not by the Second Party.</w:t>
      </w:r>
    </w:p>
    <w:p>
      <w:pPr>
        <w:spacing w:after="240" w:before="0" w:line="360" w:lineRule="auto"/>
        <w:jc w:val="both"/>
      </w:pPr>
      <w:r>
        <w:rPr>
          <w:rFonts w:ascii="Garamond" w:hAnsi="Garamond" w:eastAsia="Garamond" w:cs="Garamond"/>
          <w:b w:val="0"/>
          <w:i w:val="0"/>
          <w:sz w:val="24"/>
          <w:lang w:val="en-GB"/>
        </w:rPr>
        <w:t xml:space="preserve">4. The inability to conclude the procedure within a timeframe desired by the Client, the unavailability of slots or systems, delays by third parties, compliance requirements, requests for additional documentation or a refusal by any entity </w:t>
      </w:r>
      <w:r>
        <w:rPr>
          <w:rFonts w:ascii="Garamond" w:hAnsi="Garamond" w:eastAsia="Garamond" w:cs="Garamond"/>
          <w:b/>
          <w:i w:val="0"/>
          <w:sz w:val="24"/>
          <w:lang w:val="en-GB"/>
        </w:rPr>
        <w:t>shall not constitute breach of contract by the Second Party and shall not entitle the Client to a refund</w:t>
      </w:r>
      <w:r>
        <w:rPr>
          <w:rFonts w:ascii="Garamond" w:hAnsi="Garamond" w:eastAsia="Garamond" w:cs="Garamond"/>
          <w:b w:val="0"/>
          <w:i w:val="0"/>
          <w:sz w:val="24"/>
          <w:lang w:val="en-GB"/>
        </w:rPr>
        <w:t>.</w:t>
      </w:r>
    </w:p>
    <w:p>
      <w:pPr>
        <w:keepNext/>
        <w:spacing w:after="0" w:before="200" w:line="360" w:lineRule="auto"/>
        <w:jc w:val="center"/>
      </w:pPr>
      <w:r>
        <w:rPr>
          <w:rFonts w:ascii="Garamond" w:hAnsi="Garamond" w:eastAsia="Garamond" w:cs="Garamond"/>
          <w:b/>
          <w:i w:val="0"/>
          <w:sz w:val="24"/>
          <w:lang w:val="en-GB"/>
        </w:rPr>
        <w:t>EIGHTH CLAUSE</w:t>
      </w:r>
    </w:p>
    <w:p>
      <w:pPr>
        <w:keepNext/>
        <w:spacing w:after="200" w:before="0" w:line="360" w:lineRule="auto"/>
        <w:jc w:val="center"/>
      </w:pPr>
      <w:r>
        <w:rPr>
          <w:rFonts w:ascii="Garamond" w:hAnsi="Garamond" w:eastAsia="Garamond" w:cs="Garamond"/>
          <w:b/>
          <w:i w:val="0"/>
          <w:sz w:val="24"/>
          <w:lang w:val="en-GB"/>
        </w:rPr>
        <w:t>Communication, Updates and Follow-Up</w:t>
      </w:r>
    </w:p>
    <w:p>
      <w:pPr>
        <w:spacing w:after="240" w:before="0" w:line="360" w:lineRule="auto"/>
        <w:jc w:val="both"/>
      </w:pPr>
      <w:r>
        <w:rPr>
          <w:rFonts w:ascii="Garamond" w:hAnsi="Garamond" w:eastAsia="Garamond" w:cs="Garamond"/>
          <w:b w:val="0"/>
          <w:i w:val="0"/>
          <w:sz w:val="24"/>
          <w:lang w:val="en-GB"/>
        </w:rPr>
        <w:t>1. The Second Party shall communicate with the Client in a professional and timely manner, providing updates at the relevant stages of the process, by email and/or other channels designated by the Second Party, on business days and during business hours.</w:t>
      </w:r>
    </w:p>
    <w:p>
      <w:pPr>
        <w:spacing w:after="240" w:before="0" w:line="360" w:lineRule="auto"/>
        <w:jc w:val="both"/>
      </w:pPr>
      <w:r>
        <w:rPr>
          <w:rFonts w:ascii="Garamond" w:hAnsi="Garamond" w:eastAsia="Garamond" w:cs="Garamond"/>
          <w:b w:val="0"/>
          <w:i w:val="0"/>
          <w:sz w:val="24"/>
          <w:lang w:val="en-GB"/>
        </w:rPr>
        <w:t>2. The Client acknowledges that the contracted services do not include unlimited calls, unlimited follow-up meetings, permanent instant-messaging availability, daily updates where there is no substantive development, or repeated explanations of matters already clarified in writing or during a meeting.</w:t>
      </w:r>
    </w:p>
    <w:p>
      <w:pPr>
        <w:spacing w:after="240" w:before="0" w:line="360" w:lineRule="auto"/>
        <w:jc w:val="both"/>
      </w:pPr>
      <w:r>
        <w:rPr>
          <w:rFonts w:ascii="Garamond" w:hAnsi="Garamond" w:eastAsia="Garamond" w:cs="Garamond"/>
          <w:b w:val="0"/>
          <w:i w:val="0"/>
          <w:sz w:val="24"/>
          <w:lang w:val="en-GB"/>
        </w:rPr>
        <w:t>3. Reasonable clarifications within the contractual scope are included. Excessive, repetitive or abusive communications, or requests for additional meetings beyond what is reasonably required, may be treated as additional work and charged separately.</w:t>
      </w:r>
    </w:p>
    <w:p>
      <w:pPr>
        <w:spacing w:after="240" w:before="0" w:line="360" w:lineRule="auto"/>
        <w:jc w:val="both"/>
      </w:pPr>
      <w:r>
        <w:rPr>
          <w:rFonts w:ascii="Garamond" w:hAnsi="Garamond" w:eastAsia="Garamond" w:cs="Garamond"/>
          <w:b w:val="0"/>
          <w:i w:val="0"/>
          <w:sz w:val="24"/>
          <w:lang w:val="en-GB"/>
        </w:rPr>
        <w:t>4. The absence of daily communication does not mean that the process is not being monitored or worked on.</w:t>
      </w:r>
    </w:p>
    <w:p>
      <w:pPr>
        <w:keepNext/>
        <w:spacing w:after="0" w:before="200" w:line="360" w:lineRule="auto"/>
        <w:jc w:val="center"/>
      </w:pPr>
      <w:r>
        <w:rPr>
          <w:rFonts w:ascii="Garamond" w:hAnsi="Garamond" w:eastAsia="Garamond" w:cs="Garamond"/>
          <w:b/>
          <w:i w:val="0"/>
          <w:sz w:val="24"/>
          <w:lang w:val="en-GB"/>
        </w:rPr>
        <w:t>NINTH CLAUSE</w:t>
      </w:r>
    </w:p>
    <w:p>
      <w:pPr>
        <w:keepNext/>
        <w:spacing w:after="200" w:before="0" w:line="360" w:lineRule="auto"/>
        <w:jc w:val="center"/>
      </w:pPr>
      <w:r>
        <w:rPr>
          <w:rFonts w:ascii="Garamond" w:hAnsi="Garamond" w:eastAsia="Garamond" w:cs="Garamond"/>
          <w:b/>
          <w:i w:val="0"/>
          <w:sz w:val="24"/>
          <w:lang w:val="en-GB"/>
        </w:rPr>
        <w:t>Power of Attorney and Limits of Representation</w:t>
      </w:r>
    </w:p>
    <w:p>
      <w:pPr>
        <w:spacing w:after="240" w:before="0" w:line="360" w:lineRule="auto"/>
        <w:jc w:val="both"/>
      </w:pPr>
      <w:r>
        <w:rPr>
          <w:rFonts w:ascii="Garamond" w:hAnsi="Garamond" w:eastAsia="Garamond" w:cs="Garamond"/>
          <w:b w:val="0"/>
          <w:i w:val="0"/>
          <w:sz w:val="24"/>
          <w:lang w:val="en-GB"/>
        </w:rPr>
        <w:t>1. The performance of this contract requires the Client to grant a power of attorney in the form provided by the Second Party, and, where required by the competent entity, duly signed, notarised and/or apostilled at the Client’s expense.</w:t>
      </w:r>
    </w:p>
    <w:p>
      <w:pPr>
        <w:spacing w:after="240" w:before="0" w:line="360" w:lineRule="auto"/>
        <w:jc w:val="both"/>
      </w:pPr>
      <w:r>
        <w:rPr>
          <w:rFonts w:ascii="Garamond" w:hAnsi="Garamond" w:eastAsia="Garamond" w:cs="Garamond"/>
          <w:b w:val="0"/>
          <w:i w:val="0"/>
          <w:sz w:val="24"/>
          <w:lang w:val="en-GB"/>
        </w:rPr>
        <w:t xml:space="preserve">2. Where the Second Party is appointed tax representative, </w:t>
      </w:r>
      <w:r>
        <w:rPr>
          <w:rFonts w:ascii="Garamond" w:hAnsi="Garamond" w:eastAsia="Garamond" w:cs="Garamond"/>
          <w:b/>
          <w:i w:val="0"/>
          <w:sz w:val="24"/>
          <w:lang w:val="en-GB"/>
        </w:rPr>
        <w:t>it shall act exclusively for the purpose of receiving notifications from the Tax and Customs Authority, and shall not act as manager of the Client’s assets or rights</w:t>
      </w:r>
      <w:r>
        <w:rPr>
          <w:rFonts w:ascii="Garamond" w:hAnsi="Garamond" w:eastAsia="Garamond" w:cs="Garamond"/>
          <w:b w:val="0"/>
          <w:i w:val="0"/>
          <w:sz w:val="24"/>
          <w:lang w:val="en-GB"/>
        </w:rPr>
        <w:t>, nor assume, in any way, functions of administration, disposal or asset management.</w:t>
      </w:r>
    </w:p>
    <w:p>
      <w:pPr>
        <w:spacing w:after="240" w:before="0" w:line="360" w:lineRule="auto"/>
        <w:jc w:val="both"/>
      </w:pPr>
      <w:r>
        <w:rPr>
          <w:rFonts w:ascii="Garamond" w:hAnsi="Garamond" w:eastAsia="Garamond" w:cs="Garamond"/>
          <w:b w:val="0"/>
          <w:i w:val="0"/>
          <w:sz w:val="24"/>
          <w:lang w:val="en-GB"/>
        </w:rPr>
        <w:t xml:space="preserve">3. The powers granted for the banking procedure are </w:t>
      </w:r>
      <w:r>
        <w:rPr>
          <w:rFonts w:ascii="Garamond" w:hAnsi="Garamond" w:eastAsia="Garamond" w:cs="Garamond"/>
          <w:b/>
          <w:i w:val="0"/>
          <w:sz w:val="24"/>
          <w:lang w:val="en-GB"/>
        </w:rPr>
        <w:t>strictly limited to the administrative, preparatory and technical acts necessary for the opening, formalisation and activation of the account</w:t>
      </w:r>
      <w:r>
        <w:rPr>
          <w:rFonts w:ascii="Garamond" w:hAnsi="Garamond" w:eastAsia="Garamond" w:cs="Garamond"/>
          <w:b w:val="0"/>
          <w:i w:val="0"/>
          <w:sz w:val="24"/>
          <w:lang w:val="en-GB"/>
        </w:rPr>
        <w:t>. The Second Party is expressly prohibited from carrying out withdrawals, transfers or payments, from using bank cards, from ordering or authorising movements of funds, and from contracting financial products, credit or investment instruments on behalf of the Client.</w:t>
      </w:r>
    </w:p>
    <w:p>
      <w:pPr>
        <w:spacing w:after="240" w:before="0" w:line="360" w:lineRule="auto"/>
        <w:jc w:val="both"/>
      </w:pPr>
      <w:r>
        <w:rPr>
          <w:rFonts w:ascii="Garamond" w:hAnsi="Garamond" w:eastAsia="Garamond" w:cs="Garamond"/>
          <w:b w:val="0"/>
          <w:i w:val="0"/>
          <w:sz w:val="24"/>
          <w:lang w:val="en-GB"/>
        </w:rPr>
        <w:t xml:space="preserve">4. The Client may revoke the power of attorney at any time. </w:t>
      </w:r>
      <w:r>
        <w:rPr>
          <w:rFonts w:ascii="Garamond" w:hAnsi="Garamond" w:eastAsia="Garamond" w:cs="Garamond"/>
          <w:b/>
          <w:i w:val="0"/>
          <w:sz w:val="24"/>
          <w:lang w:val="en-GB"/>
        </w:rPr>
        <w:t>Such revocation terminates the possibility of further performance by the Second Party but does not entitle the Client to a refund</w:t>
      </w:r>
      <w:r>
        <w:rPr>
          <w:rFonts w:ascii="Garamond" w:hAnsi="Garamond" w:eastAsia="Garamond" w:cs="Garamond"/>
          <w:b w:val="0"/>
          <w:i w:val="0"/>
          <w:sz w:val="24"/>
          <w:lang w:val="en-GB"/>
        </w:rPr>
        <w:t xml:space="preserve"> of fees corresponding to work already commenced or performed.</w:t>
      </w:r>
    </w:p>
    <w:p>
      <w:pPr>
        <w:keepNext/>
        <w:spacing w:after="0" w:before="200" w:line="360" w:lineRule="auto"/>
        <w:jc w:val="center"/>
      </w:pPr>
      <w:r>
        <w:rPr>
          <w:rFonts w:ascii="Garamond" w:hAnsi="Garamond" w:eastAsia="Garamond" w:cs="Garamond"/>
          <w:b/>
          <w:i w:val="0"/>
          <w:sz w:val="24"/>
          <w:lang w:val="en-GB"/>
        </w:rPr>
        <w:t>TENTH CLAUSE</w:t>
      </w:r>
    </w:p>
    <w:p>
      <w:pPr>
        <w:keepNext/>
        <w:spacing w:after="200" w:before="0" w:line="360" w:lineRule="auto"/>
        <w:jc w:val="center"/>
      </w:pPr>
      <w:r>
        <w:rPr>
          <w:rFonts w:ascii="Garamond" w:hAnsi="Garamond" w:eastAsia="Garamond" w:cs="Garamond"/>
          <w:b/>
          <w:i w:val="0"/>
          <w:sz w:val="24"/>
          <w:lang w:val="en-GB"/>
        </w:rPr>
        <w:t>Efficiency of the Process and Repeated Requests</w:t>
      </w:r>
    </w:p>
    <w:p>
      <w:pPr>
        <w:spacing w:after="240" w:before="0" w:line="360" w:lineRule="auto"/>
        <w:jc w:val="both"/>
      </w:pPr>
      <w:r>
        <w:rPr>
          <w:rFonts w:ascii="Garamond" w:hAnsi="Garamond" w:eastAsia="Garamond" w:cs="Garamond"/>
          <w:b w:val="0"/>
          <w:i w:val="0"/>
          <w:sz w:val="24"/>
          <w:lang w:val="en-GB"/>
        </w:rPr>
        <w:t>1. The Client acknowledges that the efficient performance of the services requires organised communication, timely document submission and trust in the professional strategy defined by the Second Party.</w:t>
      </w:r>
    </w:p>
    <w:p>
      <w:pPr>
        <w:spacing w:after="240" w:before="0" w:line="360" w:lineRule="auto"/>
        <w:jc w:val="both"/>
      </w:pPr>
      <w:r>
        <w:rPr>
          <w:rFonts w:ascii="Garamond" w:hAnsi="Garamond" w:eastAsia="Garamond" w:cs="Garamond"/>
          <w:b w:val="0"/>
          <w:i w:val="0"/>
          <w:sz w:val="24"/>
          <w:lang w:val="en-GB"/>
        </w:rPr>
        <w:t>2. Repeated questioning of the same matters, refusal to follow reasonable instructions, repeated changes of direction or persistent requests for reassessment of matters already analysed may delay the process and may constitute additional work.</w:t>
      </w:r>
    </w:p>
    <w:p>
      <w:pPr>
        <w:spacing w:after="240" w:before="0" w:line="360" w:lineRule="auto"/>
        <w:jc w:val="both"/>
      </w:pPr>
      <w:r>
        <w:rPr>
          <w:rFonts w:ascii="Garamond" w:hAnsi="Garamond" w:eastAsia="Garamond" w:cs="Garamond"/>
          <w:b w:val="0"/>
          <w:i w:val="0"/>
          <w:sz w:val="24"/>
          <w:lang w:val="en-GB"/>
        </w:rPr>
        <w:t>3. Where the Client requests repeated reviews, additional explanations, new calls, revised strategies or work beyond the agreed scope, the Second Party may require payment of additional fees before continuing.</w:t>
      </w:r>
    </w:p>
    <w:p>
      <w:pPr>
        <w:keepNext/>
        <w:spacing w:after="0" w:before="200" w:line="360" w:lineRule="auto"/>
        <w:jc w:val="center"/>
      </w:pPr>
      <w:r>
        <w:rPr>
          <w:rFonts w:ascii="Garamond" w:hAnsi="Garamond" w:eastAsia="Garamond" w:cs="Garamond"/>
          <w:b/>
          <w:i w:val="0"/>
          <w:sz w:val="24"/>
          <w:lang w:val="en-GB"/>
        </w:rPr>
        <w:t>ELEVENTH CLAUSE</w:t>
      </w:r>
    </w:p>
    <w:p>
      <w:pPr>
        <w:keepNext/>
        <w:spacing w:after="200" w:before="0" w:line="360" w:lineRule="auto"/>
        <w:jc w:val="center"/>
      </w:pPr>
      <w:r>
        <w:rPr>
          <w:rFonts w:ascii="Garamond" w:hAnsi="Garamond" w:eastAsia="Garamond" w:cs="Garamond"/>
          <w:b/>
          <w:i w:val="0"/>
          <w:sz w:val="24"/>
          <w:lang w:val="en-GB"/>
        </w:rPr>
        <w:t>Phases of Service and Allocation of Fees</w:t>
      </w:r>
    </w:p>
    <w:p>
      <w:pPr>
        <w:spacing w:after="240" w:before="0" w:line="360" w:lineRule="auto"/>
        <w:jc w:val="both"/>
      </w:pPr>
      <w:r>
        <w:rPr>
          <w:rFonts w:ascii="Garamond" w:hAnsi="Garamond" w:eastAsia="Garamond" w:cs="Garamond"/>
          <w:b w:val="0"/>
          <w:i w:val="0"/>
          <w:sz w:val="24"/>
          <w:lang w:val="en-GB"/>
        </w:rPr>
        <w:t>1. For the purposes of fee allocation and of any withdrawal or termination under the Fifth Clause, the Client acknowledges that the contracted services are divided into the following phases, to which the parties allocate the following proportions of the total fee, agreed as reflecting the actual distribution of the work involved:</w:t>
      </w:r>
    </w:p>
    <w:p>
      <w:pPr>
        <w:spacing w:after="160" w:before="0" w:line="360" w:lineRule="auto"/>
        <w:ind w:left="504" w:hanging="504"/>
        <w:jc w:val="both"/>
      </w:pPr>
      <w:r>
        <w:rPr>
          <w:rFonts w:ascii="Garamond" w:hAnsi="Garamond" w:eastAsia="Garamond" w:cs="Garamond"/>
          <w:b w:val="0"/>
          <w:i w:val="0"/>
          <w:sz w:val="24"/>
          <w:lang w:val="en-GB"/>
        </w:rPr>
        <w:t xml:space="preserve">a) Onboarding, case opening, internal review and initial strategy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b) Preparation of the powers of attorney and documentary checklist — </w:t>
      </w:r>
      <w:r>
        <w:rPr>
          <w:rFonts w:ascii="Garamond" w:hAnsi="Garamond" w:eastAsia="Garamond" w:cs="Garamond"/>
          <w:b/>
          <w:i w:val="0"/>
          <w:sz w:val="24"/>
          <w:lang w:val="en-GB"/>
        </w:rPr>
        <w:t>10%</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c) Review of the documents provided and identification of gaps or corrections required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d) Submission of the NIF application before the Tax and Customs Authority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e) Request and delivery of the access credentials and of the NIF document — </w:t>
      </w:r>
      <w:r>
        <w:rPr>
          <w:rFonts w:ascii="Garamond" w:hAnsi="Garamond" w:eastAsia="Garamond" w:cs="Garamond"/>
          <w:b/>
          <w:i w:val="0"/>
          <w:sz w:val="24"/>
          <w:lang w:val="en-GB"/>
        </w:rPr>
        <w:t>10%</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f) Approach to the banking institution and submission of the account opening file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g) Follow-up of the compliance review and response to requests for further information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h) Collection and transmission of account details, credentials and bank declarations — </w:t>
      </w:r>
      <w:r>
        <w:rPr>
          <w:rFonts w:ascii="Garamond" w:hAnsi="Garamond" w:eastAsia="Garamond" w:cs="Garamond"/>
          <w:b/>
          <w:i w:val="0"/>
          <w:sz w:val="24"/>
          <w:lang w:val="en-GB"/>
        </w:rPr>
        <w:t>5%</w:t>
      </w:r>
      <w:r>
        <w:rPr>
          <w:rFonts w:ascii="Garamond" w:hAnsi="Garamond" w:eastAsia="Garamond" w:cs="Garamond"/>
          <w:b w:val="0"/>
          <w:i w:val="0"/>
          <w:sz w:val="24"/>
          <w:lang w:val="en-GB"/>
        </w:rPr>
        <w:t>.</w:t>
      </w:r>
    </w:p>
    <w:p>
      <w:pPr>
        <w:spacing w:after="240" w:before="0" w:line="360" w:lineRule="auto"/>
        <w:jc w:val="both"/>
      </w:pPr>
      <w:r>
        <w:rPr>
          <w:rFonts w:ascii="Garamond" w:hAnsi="Garamond" w:eastAsia="Garamond" w:cs="Garamond"/>
          <w:b w:val="0"/>
          <w:i w:val="0"/>
          <w:sz w:val="24"/>
          <w:lang w:val="en-GB"/>
        </w:rPr>
        <w:t>2. Each phase shall be considered initiated once the Second Party begins internal or external work related to it, including analysis, communications, document review, preparation, coordination, submission attempts or correspondence with third parties.</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Fees corresponding to phases initiated or completed shall not be refundable.</w:t>
      </w:r>
    </w:p>
    <w:p>
      <w:pPr>
        <w:keepNext/>
        <w:spacing w:after="0" w:before="200" w:line="360" w:lineRule="auto"/>
        <w:jc w:val="center"/>
      </w:pPr>
      <w:r>
        <w:rPr>
          <w:rFonts w:ascii="Garamond" w:hAnsi="Garamond" w:eastAsia="Garamond" w:cs="Garamond"/>
          <w:b/>
          <w:i w:val="0"/>
          <w:sz w:val="24"/>
          <w:lang w:val="en-GB"/>
        </w:rPr>
        <w:t>TWELFTH CLAUSE</w:t>
      </w:r>
    </w:p>
    <w:p>
      <w:pPr>
        <w:keepNext/>
        <w:spacing w:after="200" w:before="0" w:line="360" w:lineRule="auto"/>
        <w:jc w:val="center"/>
      </w:pPr>
      <w:r>
        <w:rPr>
          <w:rFonts w:ascii="Garamond" w:hAnsi="Garamond" w:eastAsia="Garamond" w:cs="Garamond"/>
          <w:b/>
          <w:i w:val="0"/>
          <w:sz w:val="24"/>
          <w:lang w:val="en-GB"/>
        </w:rPr>
        <w:t>Refusals, Resubmissions and Additional Work</w:t>
      </w:r>
    </w:p>
    <w:p>
      <w:pPr>
        <w:spacing w:after="240" w:before="0" w:line="360" w:lineRule="auto"/>
        <w:jc w:val="both"/>
      </w:pPr>
      <w:r>
        <w:rPr>
          <w:rFonts w:ascii="Garamond" w:hAnsi="Garamond" w:eastAsia="Garamond" w:cs="Garamond"/>
          <w:b w:val="0"/>
          <w:i w:val="0"/>
          <w:sz w:val="24"/>
          <w:lang w:val="en-GB"/>
        </w:rPr>
        <w:t>1. In the event of a refusal, rejection, request for resubmission, need for an appeal, administrative complaint, judicial action, new application or additional strategy following an unfavourable decision, such work shall not be included in the original fee unless expressly stated in this contract.</w:t>
      </w:r>
    </w:p>
    <w:p>
      <w:pPr>
        <w:spacing w:after="240" w:before="0" w:line="360" w:lineRule="auto"/>
        <w:jc w:val="both"/>
      </w:pPr>
      <w:r>
        <w:rPr>
          <w:rFonts w:ascii="Garamond" w:hAnsi="Garamond" w:eastAsia="Garamond" w:cs="Garamond"/>
          <w:b w:val="0"/>
          <w:i w:val="0"/>
          <w:sz w:val="24"/>
          <w:lang w:val="en-GB"/>
        </w:rPr>
        <w:t>2. Any such additional work shall be subject to a separate quotation and separate engagement.</w:t>
      </w:r>
    </w:p>
    <w:p>
      <w:pPr>
        <w:spacing w:after="240" w:before="0" w:line="360" w:lineRule="auto"/>
        <w:jc w:val="both"/>
      </w:pPr>
      <w:r>
        <w:rPr>
          <w:rFonts w:ascii="Garamond" w:hAnsi="Garamond" w:eastAsia="Garamond" w:cs="Garamond"/>
          <w:b w:val="0"/>
          <w:i w:val="0"/>
          <w:sz w:val="24"/>
          <w:lang w:val="en-GB"/>
        </w:rPr>
        <w:t>3. The Second Party shall not be required to submit a new application, repeat the process or carry out additional work free of charge merely because the Client is dissatisfied with the outcome, the processing time, the decision of the competent entity or the requirements imposed by third parties.</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A refusal or unfavourable decision shall not, by itself, constitute evidence that the Second Party failed to perform the services with diligence</w:t>
      </w:r>
      <w:r>
        <w:rPr>
          <w:rFonts w:ascii="Garamond" w:hAnsi="Garamond" w:eastAsia="Garamond" w:cs="Garamond"/>
          <w:b w:val="0"/>
          <w:i w:val="0"/>
          <w:sz w:val="24"/>
          <w:lang w:val="en-GB"/>
        </w:rPr>
        <w:t>, given the obligation of means assumed.</w:t>
      </w:r>
    </w:p>
    <w:p>
      <w:pPr>
        <w:spacing w:after="240" w:before="0" w:line="360" w:lineRule="auto"/>
        <w:jc w:val="both"/>
      </w:pPr>
      <w:r>
        <w:rPr>
          <w:rFonts w:ascii="Garamond" w:hAnsi="Garamond" w:eastAsia="Garamond" w:cs="Garamond"/>
          <w:b w:val="0"/>
          <w:i w:val="0"/>
          <w:sz w:val="24"/>
          <w:lang w:val="en-GB"/>
        </w:rPr>
        <w:t>5. Nothing in this clause excludes liability where a refusal or damage is caused exclusively and directly by proven wilful misconduct or gross negligence of the Second Party, in accordance with applicable law.</w:t>
      </w:r>
    </w:p>
    <w:p>
      <w:pPr>
        <w:keepNext/>
        <w:spacing w:after="0" w:before="200" w:line="360" w:lineRule="auto"/>
        <w:jc w:val="center"/>
      </w:pPr>
      <w:r>
        <w:rPr>
          <w:rFonts w:ascii="Garamond" w:hAnsi="Garamond" w:eastAsia="Garamond" w:cs="Garamond"/>
          <w:b/>
          <w:i w:val="0"/>
          <w:sz w:val="24"/>
          <w:lang w:val="en-GB"/>
        </w:rPr>
        <w:t>THIRTEENTH CLAUSE</w:t>
      </w:r>
    </w:p>
    <w:p>
      <w:pPr>
        <w:keepNext/>
        <w:spacing w:after="200" w:before="0" w:line="360" w:lineRule="auto"/>
        <w:jc w:val="center"/>
      </w:pPr>
      <w:r>
        <w:rPr>
          <w:rFonts w:ascii="Garamond" w:hAnsi="Garamond" w:eastAsia="Garamond" w:cs="Garamond"/>
          <w:b/>
          <w:i w:val="0"/>
          <w:sz w:val="24"/>
          <w:lang w:val="en-GB"/>
        </w:rPr>
        <w:t>Termination and Refunds</w:t>
      </w:r>
    </w:p>
    <w:p>
      <w:pPr>
        <w:spacing w:after="240" w:before="0" w:line="360" w:lineRule="auto"/>
        <w:jc w:val="both"/>
      </w:pPr>
      <w:r>
        <w:rPr>
          <w:rFonts w:ascii="Garamond" w:hAnsi="Garamond" w:eastAsia="Garamond" w:cs="Garamond"/>
          <w:b w:val="0"/>
          <w:i w:val="0"/>
          <w:sz w:val="24"/>
          <w:lang w:val="en-GB"/>
        </w:rPr>
        <w:t>1. The Client may terminate this contract by written notice sent by email to the address of the Second Party.</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Once this contract has entered into force and the Second Party has commenced the provision of services, the fees paid shall not be refundable</w:t>
      </w:r>
      <w:r>
        <w:rPr>
          <w:rFonts w:ascii="Garamond" w:hAnsi="Garamond" w:eastAsia="Garamond" w:cs="Garamond"/>
          <w:b w:val="0"/>
          <w:i w:val="0"/>
          <w:sz w:val="24"/>
          <w:lang w:val="en-GB"/>
        </w:rPr>
        <w:t xml:space="preserve"> in relation to any work already performed, phase initiated, time allocated, internal analysis carried out, documents prepared, communications exchanged, third-party coordination undertaken or administrative steps started.</w:t>
      </w:r>
    </w:p>
    <w:p>
      <w:pPr>
        <w:spacing w:after="240" w:before="0" w:line="360" w:lineRule="auto"/>
        <w:jc w:val="both"/>
      </w:pPr>
      <w:r>
        <w:rPr>
          <w:rFonts w:ascii="Garamond" w:hAnsi="Garamond" w:eastAsia="Garamond" w:cs="Garamond"/>
          <w:b w:val="0"/>
          <w:i w:val="0"/>
          <w:sz w:val="24"/>
          <w:lang w:val="en-GB"/>
        </w:rPr>
        <w:t>3. The Client expressly acknowledges that the services are not limited to the final submission of an application or to the visible outcome of a specific step. Case analysis, document review, strategic planning, checklist preparation, internal organisation, coordination with the competent entities and communication with the Client all constitute professional services fully rendered.</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shall not be entitled to a refund on the grounds that the application has not yet been submitted, that the NIF has not yet been assigned, that the account has not yet been opened, that a decision has not yet been issued, or that the Client has not provided the documents or cooperation required</w:t>
      </w:r>
      <w:r>
        <w:rPr>
          <w:rFonts w:ascii="Garamond" w:hAnsi="Garamond" w:eastAsia="Garamond" w:cs="Garamond"/>
          <w:b w:val="0"/>
          <w:i w:val="0"/>
          <w:sz w:val="24"/>
          <w:lang w:val="en-GB"/>
        </w:rPr>
        <w:t xml:space="preserve"> for the continuation of the process.</w:t>
      </w:r>
    </w:p>
    <w:p>
      <w:pPr>
        <w:spacing w:after="240" w:before="0" w:line="360" w:lineRule="auto"/>
        <w:jc w:val="both"/>
      </w:pPr>
      <w:r>
        <w:rPr>
          <w:rFonts w:ascii="Garamond" w:hAnsi="Garamond" w:eastAsia="Garamond" w:cs="Garamond"/>
          <w:b w:val="0"/>
          <w:i w:val="0"/>
          <w:sz w:val="24"/>
          <w:lang w:val="en-GB"/>
        </w:rPr>
        <w:t>5. Where termination is requested by the Client before completion of the services, the Second Party shall be entitled to retain the amounts corresponding to all services already initiated or performed, without prejudice to the right to charge any outstanding amounts, expenses, third-party fees or additional work already incurred.</w:t>
      </w:r>
    </w:p>
    <w:p>
      <w:pPr>
        <w:spacing w:after="240" w:before="0" w:line="360" w:lineRule="auto"/>
        <w:jc w:val="both"/>
      </w:pPr>
      <w:r>
        <w:rPr>
          <w:rFonts w:ascii="Garamond" w:hAnsi="Garamond" w:eastAsia="Garamond" w:cs="Garamond"/>
          <w:b w:val="0"/>
          <w:i w:val="0"/>
          <w:sz w:val="24"/>
          <w:lang w:val="en-GB"/>
        </w:rPr>
        <w:t>6. The Second Party may terminate this contract immediately, without any obligation to refund fees corresponding to work already commenced or performed, in the event of breach of trust, abusive conduct, repeated unreasonable demands, persistent lack of cooperation, non-payment, provision of false or inconsistent information, refusal to provide documents, or conduct that makes the continuation of the professional relationship unreasonable or incompatible with the applicable ethical and professional duties.</w:t>
      </w:r>
    </w:p>
    <w:p>
      <w:pPr>
        <w:keepNext/>
        <w:spacing w:after="0" w:before="200" w:line="360" w:lineRule="auto"/>
        <w:jc w:val="center"/>
      </w:pPr>
      <w:r>
        <w:rPr>
          <w:rFonts w:ascii="Garamond" w:hAnsi="Garamond" w:eastAsia="Garamond" w:cs="Garamond"/>
          <w:b/>
          <w:i w:val="0"/>
          <w:sz w:val="24"/>
          <w:lang w:val="en-GB"/>
        </w:rPr>
        <w:t>FOURTEENTH CLAUSE</w:t>
      </w:r>
    </w:p>
    <w:p>
      <w:pPr>
        <w:keepNext/>
        <w:spacing w:after="200" w:before="0" w:line="360" w:lineRule="auto"/>
        <w:jc w:val="center"/>
      </w:pPr>
      <w:r>
        <w:rPr>
          <w:rFonts w:ascii="Garamond" w:hAnsi="Garamond" w:eastAsia="Garamond" w:cs="Garamond"/>
          <w:b/>
          <w:i w:val="0"/>
          <w:sz w:val="24"/>
          <w:lang w:val="en-GB"/>
        </w:rPr>
        <w:t>Payment Disputes and Chargebacks</w:t>
      </w:r>
    </w:p>
    <w:p>
      <w:pPr>
        <w:spacing w:after="240" w:before="0" w:line="360" w:lineRule="auto"/>
        <w:jc w:val="both"/>
      </w:pPr>
      <w:r>
        <w:rPr>
          <w:rFonts w:ascii="Garamond" w:hAnsi="Garamond" w:eastAsia="Garamond" w:cs="Garamond"/>
          <w:b w:val="0"/>
          <w:i w:val="0"/>
          <w:sz w:val="24"/>
          <w:lang w:val="en-GB"/>
        </w:rPr>
        <w:t>1. The Client agrees that any concern regarding the services, fees or performance of this contract shall first be submitted in writing to the Second Party, allowing a reasonable opportunity for review and clarification.</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Client shall not initiate chargebacks, payment disputes or reversal requests</w:t>
      </w:r>
      <w:r>
        <w:rPr>
          <w:rFonts w:ascii="Garamond" w:hAnsi="Garamond" w:eastAsia="Garamond" w:cs="Garamond"/>
          <w:b w:val="0"/>
          <w:i w:val="0"/>
          <w:sz w:val="24"/>
          <w:lang w:val="en-GB"/>
        </w:rPr>
        <w:t xml:space="preserve"> without first notifying the Second Party in writing and allowing the matter to be addressed in good faith.</w:t>
      </w:r>
    </w:p>
    <w:p>
      <w:pPr>
        <w:spacing w:after="240" w:before="0" w:line="360" w:lineRule="auto"/>
        <w:jc w:val="both"/>
      </w:pPr>
      <w:r>
        <w:rPr>
          <w:rFonts w:ascii="Garamond" w:hAnsi="Garamond" w:eastAsia="Garamond" w:cs="Garamond"/>
          <w:b w:val="0"/>
          <w:i w:val="0"/>
          <w:sz w:val="24"/>
          <w:lang w:val="en-GB"/>
        </w:rPr>
        <w:t>3. If a chargeback or payment dispute is initiated after the services have commenced or after any phase has been performed, the Second Party reserves the right to suspend all services immediately and to claim any bank fees, administrative costs, legal costs or damages resulting from such dispute, without prejudice to any other rights available under applicable law.</w:t>
      </w:r>
    </w:p>
    <w:p>
      <w:pPr>
        <w:keepNext/>
        <w:spacing w:after="0" w:before="200" w:line="360" w:lineRule="auto"/>
        <w:jc w:val="center"/>
      </w:pPr>
      <w:r>
        <w:rPr>
          <w:rFonts w:ascii="Garamond" w:hAnsi="Garamond" w:eastAsia="Garamond" w:cs="Garamond"/>
          <w:b/>
          <w:i w:val="0"/>
          <w:sz w:val="24"/>
          <w:lang w:val="en-GB"/>
        </w:rPr>
        <w:t>FIFTEENTH CLAUSE</w:t>
      </w:r>
    </w:p>
    <w:p>
      <w:pPr>
        <w:keepNext/>
        <w:spacing w:after="200" w:before="0" w:line="360" w:lineRule="auto"/>
        <w:jc w:val="center"/>
      </w:pPr>
      <w:r>
        <w:rPr>
          <w:rFonts w:ascii="Garamond" w:hAnsi="Garamond" w:eastAsia="Garamond" w:cs="Garamond"/>
          <w:b/>
          <w:i w:val="0"/>
          <w:sz w:val="24"/>
          <w:lang w:val="en-GB"/>
        </w:rPr>
        <w:t>Client Acknowledgement</w:t>
      </w:r>
    </w:p>
    <w:p>
      <w:pPr>
        <w:spacing w:after="240" w:before="0" w:line="360" w:lineRule="auto"/>
        <w:jc w:val="both"/>
      </w:pPr>
      <w:r>
        <w:rPr>
          <w:rFonts w:ascii="Garamond" w:hAnsi="Garamond" w:eastAsia="Garamond" w:cs="Garamond"/>
          <w:b w:val="0"/>
          <w:i w:val="0"/>
          <w:sz w:val="24"/>
          <w:lang w:val="en-GB"/>
        </w:rPr>
        <w:t>By signing this contract, the Client expressly acknowledges that:</w:t>
      </w:r>
    </w:p>
    <w:p>
      <w:pPr>
        <w:spacing w:after="160" w:before="0" w:line="360" w:lineRule="auto"/>
        <w:ind w:left="504" w:hanging="504"/>
        <w:jc w:val="both"/>
      </w:pPr>
      <w:r>
        <w:rPr>
          <w:rFonts w:ascii="Garamond" w:hAnsi="Garamond" w:eastAsia="Garamond" w:cs="Garamond"/>
          <w:b w:val="0"/>
          <w:i w:val="0"/>
          <w:sz w:val="24"/>
          <w:lang w:val="en-GB"/>
        </w:rPr>
        <w:t xml:space="preserve">a) </w:t>
      </w:r>
      <w:r>
        <w:rPr>
          <w:rFonts w:ascii="Garamond" w:hAnsi="Garamond" w:eastAsia="Garamond" w:cs="Garamond"/>
          <w:b/>
          <w:i w:val="0"/>
          <w:sz w:val="24"/>
          <w:lang w:val="en-GB"/>
        </w:rPr>
        <w:t>The contracted services constitute an obligation of means and not an obligation of result;</w:t>
      </w:r>
    </w:p>
    <w:p>
      <w:pPr>
        <w:spacing w:after="160" w:before="0" w:line="360" w:lineRule="auto"/>
        <w:ind w:left="504" w:hanging="504"/>
        <w:jc w:val="both"/>
      </w:pPr>
      <w:r>
        <w:rPr>
          <w:rFonts w:ascii="Garamond" w:hAnsi="Garamond" w:eastAsia="Garamond" w:cs="Garamond"/>
          <w:b w:val="0"/>
          <w:i w:val="0"/>
          <w:sz w:val="24"/>
          <w:lang w:val="en-GB"/>
        </w:rPr>
        <w:t>b) The services shall commence immediately upon payment confirmation, at the Client’s express request made in Annex I, before the end of the withdrawal period;</w:t>
      </w:r>
    </w:p>
    <w:p>
      <w:pPr>
        <w:spacing w:after="160" w:before="0" w:line="360" w:lineRule="auto"/>
        <w:ind w:left="504" w:hanging="504"/>
        <w:jc w:val="both"/>
      </w:pPr>
      <w:r>
        <w:rPr>
          <w:rFonts w:ascii="Garamond" w:hAnsi="Garamond" w:eastAsia="Garamond" w:cs="Garamond"/>
          <w:b w:val="0"/>
          <w:i w:val="0"/>
          <w:sz w:val="24"/>
          <w:lang w:val="en-GB"/>
        </w:rPr>
        <w:t xml:space="preserve">c) </w:t>
      </w:r>
      <w:r>
        <w:rPr>
          <w:rFonts w:ascii="Garamond" w:hAnsi="Garamond" w:eastAsia="Garamond" w:cs="Garamond"/>
          <w:b/>
          <w:i w:val="0"/>
          <w:sz w:val="24"/>
          <w:lang w:val="en-GB"/>
        </w:rPr>
        <w:t>Once the services have been fully performed with that prior express consent, the right of withdrawal is lost, under Article 17(1)(a) of Decree-Law no. 24/2014;</w:t>
      </w:r>
    </w:p>
    <w:p>
      <w:pPr>
        <w:spacing w:after="160" w:before="0" w:line="360" w:lineRule="auto"/>
        <w:ind w:left="504" w:hanging="504"/>
        <w:jc w:val="both"/>
      </w:pPr>
      <w:r>
        <w:rPr>
          <w:rFonts w:ascii="Garamond" w:hAnsi="Garamond" w:eastAsia="Garamond" w:cs="Garamond"/>
          <w:b w:val="0"/>
          <w:i w:val="0"/>
          <w:sz w:val="24"/>
          <w:lang w:val="en-GB"/>
        </w:rPr>
        <w:t xml:space="preserve">d) </w:t>
      </w:r>
      <w:r>
        <w:rPr>
          <w:rFonts w:ascii="Garamond" w:hAnsi="Garamond" w:eastAsia="Garamond" w:cs="Garamond"/>
          <w:b/>
          <w:i w:val="0"/>
          <w:sz w:val="24"/>
          <w:lang w:val="en-GB"/>
        </w:rPr>
        <w:t>If the Client withdraws after the services have begun, the Client shall pay the amount proportional to the phases already initiated or completed, under Article 15(2) of the same Decree-Law;</w:t>
      </w:r>
    </w:p>
    <w:p>
      <w:pPr>
        <w:spacing w:after="160" w:before="0" w:line="360" w:lineRule="auto"/>
        <w:ind w:left="504" w:hanging="504"/>
        <w:jc w:val="both"/>
      </w:pPr>
      <w:r>
        <w:rPr>
          <w:rFonts w:ascii="Garamond" w:hAnsi="Garamond" w:eastAsia="Garamond" w:cs="Garamond"/>
          <w:b w:val="0"/>
          <w:i w:val="0"/>
          <w:sz w:val="24"/>
          <w:lang w:val="en-GB"/>
        </w:rPr>
        <w:t>e) The assignment of the NIF depends exclusively on the Tax and Customs Authority, and the opening of the account depends exclusively on the banking institution’s compliance review and final decision;</w:t>
      </w:r>
    </w:p>
    <w:p>
      <w:pPr>
        <w:spacing w:after="160" w:before="0" w:line="360" w:lineRule="auto"/>
        <w:ind w:left="504" w:hanging="504"/>
        <w:jc w:val="both"/>
      </w:pPr>
      <w:r>
        <w:rPr>
          <w:rFonts w:ascii="Garamond" w:hAnsi="Garamond" w:eastAsia="Garamond" w:cs="Garamond"/>
          <w:b w:val="0"/>
          <w:i w:val="0"/>
          <w:sz w:val="24"/>
          <w:lang w:val="en-GB"/>
        </w:rPr>
        <w:t>f) A refusal by a banking institution does not entitle the Client to a refund, nor to the repetition of the service with a different institution free of charge;</w:t>
      </w:r>
    </w:p>
    <w:p>
      <w:pPr>
        <w:spacing w:after="160" w:before="0" w:line="360" w:lineRule="auto"/>
        <w:ind w:left="504" w:hanging="504"/>
        <w:jc w:val="both"/>
      </w:pPr>
      <w:r>
        <w:rPr>
          <w:rFonts w:ascii="Garamond" w:hAnsi="Garamond" w:eastAsia="Garamond" w:cs="Garamond"/>
          <w:b w:val="0"/>
          <w:i w:val="0"/>
          <w:sz w:val="24"/>
          <w:lang w:val="en-GB"/>
        </w:rPr>
        <w:t>g) The fee is due for the professional work performed and is not conditional upon success;</w:t>
      </w:r>
    </w:p>
    <w:p>
      <w:pPr>
        <w:spacing w:after="160" w:before="0" w:line="360" w:lineRule="auto"/>
        <w:ind w:left="504" w:hanging="504"/>
        <w:jc w:val="both"/>
      </w:pPr>
      <w:r>
        <w:rPr>
          <w:rFonts w:ascii="Garamond" w:hAnsi="Garamond" w:eastAsia="Garamond" w:cs="Garamond"/>
          <w:b w:val="0"/>
          <w:i w:val="0"/>
          <w:sz w:val="24"/>
          <w:lang w:val="en-GB"/>
        </w:rPr>
        <w:t xml:space="preserve">h) </w:t>
      </w:r>
      <w:r>
        <w:rPr>
          <w:rFonts w:ascii="Garamond" w:hAnsi="Garamond" w:eastAsia="Garamond" w:cs="Garamond"/>
          <w:b/>
          <w:i w:val="0"/>
          <w:sz w:val="24"/>
          <w:lang w:val="en-GB"/>
        </w:rPr>
        <w:t>No refund is due in respect of work already initiated or performed, or of phases already commenced;</w:t>
      </w:r>
    </w:p>
    <w:p>
      <w:pPr>
        <w:spacing w:after="160" w:before="0" w:line="360" w:lineRule="auto"/>
        <w:ind w:left="504" w:hanging="504"/>
        <w:jc w:val="both"/>
      </w:pPr>
      <w:r>
        <w:rPr>
          <w:rFonts w:ascii="Garamond" w:hAnsi="Garamond" w:eastAsia="Garamond" w:cs="Garamond"/>
          <w:b w:val="0"/>
          <w:i w:val="0"/>
          <w:sz w:val="24"/>
          <w:lang w:val="en-GB"/>
        </w:rPr>
        <w:t>i) A refusal, delay, request for additional documents or unfavourable decision by any authority or third party does not entitle the Client to a refund;</w:t>
      </w:r>
    </w:p>
    <w:p>
      <w:pPr>
        <w:spacing w:after="160" w:before="0" w:line="360" w:lineRule="auto"/>
        <w:ind w:left="504" w:hanging="504"/>
        <w:jc w:val="both"/>
      </w:pPr>
      <w:r>
        <w:rPr>
          <w:rFonts w:ascii="Garamond" w:hAnsi="Garamond" w:eastAsia="Garamond" w:cs="Garamond"/>
          <w:b w:val="0"/>
          <w:i w:val="0"/>
          <w:sz w:val="24"/>
          <w:lang w:val="en-GB"/>
        </w:rPr>
        <w:t>j) Any appeal, resubmission, new application or additional work after a refusal requires a separate quotation and engagement;</w:t>
      </w:r>
    </w:p>
    <w:p>
      <w:pPr>
        <w:spacing w:after="160" w:before="0" w:line="360" w:lineRule="auto"/>
        <w:ind w:left="504" w:hanging="504"/>
        <w:jc w:val="both"/>
      </w:pPr>
      <w:r>
        <w:rPr>
          <w:rFonts w:ascii="Garamond" w:hAnsi="Garamond" w:eastAsia="Garamond" w:cs="Garamond"/>
          <w:b w:val="0"/>
          <w:i w:val="0"/>
          <w:sz w:val="24"/>
          <w:lang w:val="en-GB"/>
        </w:rPr>
        <w:t>k) The progress of the process depends on the Client’s timely cooperation and document submission;</w:t>
      </w:r>
    </w:p>
    <w:p>
      <w:pPr>
        <w:spacing w:after="160" w:before="0" w:line="360" w:lineRule="auto"/>
        <w:ind w:left="504" w:hanging="504"/>
        <w:jc w:val="both"/>
      </w:pPr>
      <w:r>
        <w:rPr>
          <w:rFonts w:ascii="Garamond" w:hAnsi="Garamond" w:eastAsia="Garamond" w:cs="Garamond"/>
          <w:b w:val="0"/>
          <w:i w:val="0"/>
          <w:sz w:val="24"/>
          <w:lang w:val="en-GB"/>
        </w:rPr>
        <w:t>l) Excessive communications, repeated meetings or work outside the agreed scope may be charged separately;</w:t>
      </w:r>
    </w:p>
    <w:p>
      <w:pPr>
        <w:spacing w:after="160" w:before="0" w:line="360" w:lineRule="auto"/>
        <w:ind w:left="504" w:hanging="504"/>
        <w:jc w:val="both"/>
      </w:pPr>
      <w:r>
        <w:rPr>
          <w:rFonts w:ascii="Garamond" w:hAnsi="Garamond" w:eastAsia="Garamond" w:cs="Garamond"/>
          <w:b w:val="0"/>
          <w:i w:val="0"/>
          <w:sz w:val="24"/>
          <w:lang w:val="en-GB"/>
        </w:rPr>
        <w:t>m) Lack of cooperation may lead to suspension or termination of the services without refund of fees already earned;</w:t>
      </w:r>
    </w:p>
    <w:p>
      <w:pPr>
        <w:spacing w:after="160" w:before="0" w:line="360" w:lineRule="auto"/>
        <w:ind w:left="504" w:hanging="504"/>
        <w:jc w:val="both"/>
      </w:pPr>
      <w:r>
        <w:rPr>
          <w:rFonts w:ascii="Garamond" w:hAnsi="Garamond" w:eastAsia="Garamond" w:cs="Garamond"/>
          <w:b w:val="0"/>
          <w:i w:val="0"/>
          <w:sz w:val="24"/>
          <w:lang w:val="en-GB"/>
        </w:rPr>
        <w:t>n) Revocation of the power of attorney terminates the service without entitling the Client to a refund.</w:t>
      </w:r>
    </w:p>
    <w:p>
      <w:pPr>
        <w:keepNext/>
        <w:spacing w:after="0" w:before="200" w:line="360" w:lineRule="auto"/>
        <w:jc w:val="center"/>
      </w:pPr>
      <w:r>
        <w:rPr>
          <w:rFonts w:ascii="Garamond" w:hAnsi="Garamond" w:eastAsia="Garamond" w:cs="Garamond"/>
          <w:b/>
          <w:i w:val="0"/>
          <w:sz w:val="24"/>
          <w:lang w:val="en-GB"/>
        </w:rPr>
        <w:t>SIXTEENTH CLAUSE</w:t>
      </w:r>
    </w:p>
    <w:p>
      <w:pPr>
        <w:keepNext/>
        <w:spacing w:after="200" w:before="0" w:line="360" w:lineRule="auto"/>
        <w:jc w:val="center"/>
      </w:pPr>
      <w:r>
        <w:rPr>
          <w:rFonts w:ascii="Garamond" w:hAnsi="Garamond" w:eastAsia="Garamond" w:cs="Garamond"/>
          <w:b/>
          <w:i w:val="0"/>
          <w:sz w:val="24"/>
          <w:lang w:val="en-GB"/>
        </w:rPr>
        <w:t>Confidentiality and Data Protection</w:t>
      </w:r>
    </w:p>
    <w:p>
      <w:pPr>
        <w:spacing w:after="240" w:before="0" w:line="360" w:lineRule="auto"/>
        <w:jc w:val="both"/>
      </w:pPr>
      <w:r>
        <w:rPr>
          <w:rFonts w:ascii="Garamond" w:hAnsi="Garamond" w:eastAsia="Garamond" w:cs="Garamond"/>
          <w:b w:val="0"/>
          <w:i w:val="0"/>
          <w:sz w:val="24"/>
          <w:lang w:val="en-GB"/>
        </w:rPr>
        <w:t>1. The Second Party and the Attorney acting on its behalf are bound by professional confidentiality in respect of the information and documents to which they have access under this contract.</w:t>
      </w:r>
    </w:p>
    <w:p>
      <w:pPr>
        <w:spacing w:after="240" w:before="0" w:line="360" w:lineRule="auto"/>
        <w:jc w:val="both"/>
      </w:pPr>
      <w:r>
        <w:rPr>
          <w:rFonts w:ascii="Garamond" w:hAnsi="Garamond" w:eastAsia="Garamond" w:cs="Garamond"/>
          <w:b w:val="0"/>
          <w:i w:val="0"/>
          <w:sz w:val="24"/>
          <w:lang w:val="en-GB"/>
        </w:rPr>
        <w:t>2. The Client expressly authorises the processing, storage and use of the Client’s personal data and documents strictly for the purposes of performing this contract, in accordance with the General Data Protection Regulation and other applicable legislation, including their transmission to the Tax and Customs Authority, to banking institutions and to any other entity strictly necessary for the performance of the services.</w:t>
      </w:r>
    </w:p>
    <w:p>
      <w:pPr>
        <w:spacing w:after="240" w:before="0" w:line="360" w:lineRule="auto"/>
        <w:jc w:val="both"/>
      </w:pPr>
      <w:r>
        <w:rPr>
          <w:rFonts w:ascii="Garamond" w:hAnsi="Garamond" w:eastAsia="Garamond" w:cs="Garamond"/>
          <w:b w:val="0"/>
          <w:i w:val="0"/>
          <w:sz w:val="24"/>
          <w:lang w:val="en-GB"/>
        </w:rPr>
        <w:t>3. The Second Party shall retain the documentation for the period necessary to perform the services and to comply with its legal, tax, professional and deontological obligations.</w:t>
      </w:r>
    </w:p>
    <w:p>
      <w:pPr>
        <w:keepNext/>
        <w:spacing w:after="0" w:before="200" w:line="360" w:lineRule="auto"/>
        <w:jc w:val="center"/>
      </w:pPr>
      <w:r>
        <w:rPr>
          <w:rFonts w:ascii="Garamond" w:hAnsi="Garamond" w:eastAsia="Garamond" w:cs="Garamond"/>
          <w:b/>
          <w:i w:val="0"/>
          <w:sz w:val="24"/>
          <w:lang w:val="en-GB"/>
        </w:rPr>
        <w:t>SEVENTEENTH CLAUSE</w:t>
      </w:r>
    </w:p>
    <w:p>
      <w:pPr>
        <w:keepNext/>
        <w:spacing w:after="200" w:before="0" w:line="360" w:lineRule="auto"/>
        <w:jc w:val="center"/>
      </w:pPr>
      <w:r>
        <w:rPr>
          <w:rFonts w:ascii="Garamond" w:hAnsi="Garamond" w:eastAsia="Garamond" w:cs="Garamond"/>
          <w:b/>
          <w:i w:val="0"/>
          <w:sz w:val="24"/>
          <w:lang w:val="en-GB"/>
        </w:rPr>
        <w:t>Final Provisions, Interpretation and Dispute Resolution</w:t>
      </w:r>
    </w:p>
    <w:p>
      <w:pPr>
        <w:spacing w:after="240" w:before="0" w:line="360" w:lineRule="auto"/>
        <w:jc w:val="both"/>
      </w:pPr>
      <w:r>
        <w:rPr>
          <w:rFonts w:ascii="Garamond" w:hAnsi="Garamond" w:eastAsia="Garamond" w:cs="Garamond"/>
          <w:b w:val="0"/>
          <w:i w:val="0"/>
          <w:sz w:val="24"/>
          <w:lang w:val="en-GB"/>
        </w:rPr>
        <w:t>1. This contract represents the entire agreement between the parties on its subject matter and supersedes any prior understanding, communication or agreement, whether verbal or written.</w:t>
      </w:r>
    </w:p>
    <w:p>
      <w:pPr>
        <w:spacing w:after="240" w:before="0" w:line="360" w:lineRule="auto"/>
        <w:jc w:val="both"/>
      </w:pPr>
      <w:r>
        <w:rPr>
          <w:rFonts w:ascii="Garamond" w:hAnsi="Garamond" w:eastAsia="Garamond" w:cs="Garamond"/>
          <w:b w:val="0"/>
          <w:i w:val="0"/>
          <w:sz w:val="24"/>
          <w:lang w:val="en-GB"/>
        </w:rPr>
        <w:t>2. Any amendment shall only be valid if made in writing and accepted by both parties.</w:t>
      </w:r>
    </w:p>
    <w:p>
      <w:pPr>
        <w:spacing w:after="240" w:before="0" w:line="360" w:lineRule="auto"/>
        <w:jc w:val="both"/>
      </w:pPr>
      <w:r>
        <w:rPr>
          <w:rFonts w:ascii="Garamond" w:hAnsi="Garamond" w:eastAsia="Garamond" w:cs="Garamond"/>
          <w:b w:val="0"/>
          <w:i w:val="0"/>
          <w:sz w:val="24"/>
          <w:lang w:val="en-GB"/>
        </w:rPr>
        <w:t>3. The invalidity or unenforceability of any clause shall not affect the remaining clauses, which shall remain in force, and the invalid clause shall be replaced by another that best reflects the parties’ original intention within the limits of applicable law.</w:t>
      </w:r>
    </w:p>
    <w:p>
      <w:pPr>
        <w:spacing w:after="240" w:before="0" w:line="360" w:lineRule="auto"/>
        <w:jc w:val="both"/>
      </w:pPr>
      <w:r>
        <w:rPr>
          <w:rFonts w:ascii="Garamond" w:hAnsi="Garamond" w:eastAsia="Garamond" w:cs="Garamond"/>
          <w:b w:val="0"/>
          <w:i w:val="0"/>
          <w:sz w:val="24"/>
          <w:lang w:val="en-GB"/>
        </w:rPr>
        <w:t>4. The parties undertake to resolve in good faith any doubts, gaps or difficulties of interpretation arising from the execution of this contract.</w:t>
      </w:r>
    </w:p>
    <w:p>
      <w:pPr>
        <w:spacing w:after="240" w:before="0" w:line="360" w:lineRule="auto"/>
        <w:jc w:val="both"/>
      </w:pPr>
      <w:r>
        <w:rPr>
          <w:rFonts w:ascii="Garamond" w:hAnsi="Garamond" w:eastAsia="Garamond" w:cs="Garamond"/>
          <w:b w:val="0"/>
          <w:i w:val="0"/>
          <w:sz w:val="24"/>
          <w:lang w:val="en-GB"/>
        </w:rPr>
        <w:t>5. Where the above is not possible, the parties agree that the Judicial Court of the District of Lisbon shall be competent, without prejudice to any mandatory rules of territorial jurisdiction or of consumer protection that may be applicable.</w:t>
      </w:r>
    </w:p>
    <w:p>
      <w:pPr>
        <w:spacing w:after="240" w:before="280" w:line="360" w:lineRule="auto"/>
        <w:jc w:val="center"/>
      </w:pPr>
      <w:r>
        <w:rPr>
          <w:rFonts w:ascii="Garamond" w:hAnsi="Garamond" w:eastAsia="Garamond" w:cs="Garamond"/>
          <w:b w:val="0"/>
          <w:i w:val="0"/>
          <w:sz w:val="24"/>
          <w:lang w:val="en-GB"/>
        </w:rPr>
        <w:t>Done in duplicate at Lisbon, on [DAY] [MONTH] [YEAR].</w:t>
      </w:r>
    </w:p>
    <w:p>
      <w:pPr>
        <w:spacing w:after="360" w:before="360" w:line="360" w:lineRule="auto"/>
        <w:jc w:val="center"/>
      </w:pPr>
      <w:r>
        <w:rPr>
          <w:rFonts w:ascii="Garamond" w:hAnsi="Garamond" w:eastAsia="Garamond" w:cs="Garamond"/>
          <w:b/>
          <w:i w:val="0"/>
          <w:sz w:val="24"/>
          <w:lang w:val="en-GB"/>
        </w:rPr>
        <w:t>SIGNATURES</w:t>
      </w:r>
    </w:p>
    <w:p>
      <w:pPr>
        <w:spacing w:after="520" w:before="0" w:line="360" w:lineRule="auto"/>
        <w:jc w:val="left"/>
      </w:pPr>
      <w:r>
        <w:rPr>
          <w:rFonts w:ascii="Garamond" w:hAnsi="Garamond" w:eastAsia="Garamond" w:cs="Garamond"/>
          <w:b w:val="0"/>
          <w:i w:val="0"/>
          <w:sz w:val="24"/>
          <w:lang w:val="en-GB"/>
        </w:rPr>
        <w:t>The First Party,</w:t>
      </w:r>
    </w:p>
    <w:p>
      <w:pPr>
        <w:spacing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[FULL NAME]</w:t>
      </w:r>
    </w:p>
    <w:p>
      <w:pPr>
        <w:spacing w:before="480"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[FULL NAME 2]</w:t>
      </w:r>
    </w:p>
    <w:p>
      <w:pPr>
        <w:spacing w:after="520" w:before="0" w:line="360" w:lineRule="auto"/>
        <w:jc w:val="left"/>
      </w:pPr>
      <w:r>
        <w:rPr>
          <w:rFonts w:ascii="Garamond" w:hAnsi="Garamond" w:eastAsia="Garamond" w:cs="Garamond"/>
          <w:b w:val="0"/>
          <w:i w:val="0"/>
          <w:sz w:val="24"/>
          <w:lang w:val="en-GB"/>
        </w:rPr>
        <w:t>The Second Party,</w:t>
      </w:r>
    </w:p>
    <w:p>
      <w:pPr>
        <w:spacing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PATRÍCIA SOARES VIANA</w:t>
      </w:r>
    </w:p>
    <w:p>
      <w:pPr>
        <w:spacing w:after="200" w:before="0" w:line="360" w:lineRule="auto"/>
        <w:jc w:val="left"/>
      </w:pPr>
      <w:r>
        <w:rPr>
          <w:rFonts w:ascii="Garamond" w:hAnsi="Garamond" w:eastAsia="Garamond" w:cs="Garamond"/>
          <w:b w:val="0"/>
          <w:i w:val="0"/>
          <w:sz w:val="24"/>
          <w:lang w:val="en-GB"/>
        </w:rPr>
        <w:t>For and on behalf of ALTTAVIA RELOCATION, Unipessoal Lda.</w:t>
      </w:r>
    </w:p>
    <w:sectPr w:rsidR="006D4374" w:rsidRPr="00226382" w:rsidSect="000E41C3">
      <w:headerReference w:type="even" r:id="rId7"/>
      <w:headerReference w:type="default" r:id="rId8"/>
      <w:footerReference w:type="default" r:id="rId9"/>
      <w:headerReference w:type="first" r:id="rId1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C996" w14:textId="77777777" w:rsidR="00C7218C" w:rsidRDefault="00C7218C" w:rsidP="00092CBA">
      <w:pPr>
        <w:spacing w:after="0" w:line="240" w:lineRule="auto"/>
      </w:pPr>
      <w:r>
        <w:separator/>
      </w:r>
    </w:p>
  </w:endnote>
  <w:endnote w:type="continuationSeparator" w:id="0">
    <w:p w14:paraId="0C53DF9B" w14:textId="77777777" w:rsidR="00C7218C" w:rsidRDefault="00C7218C" w:rsidP="00092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7BA8" w14:textId="7FFCCCB0" w:rsidR="00031F11" w:rsidRDefault="007C66D1" w:rsidP="00031F11">
    <w:pPr>
      <w:pStyle w:val="Rodap"/>
      <w:tabs>
        <w:tab w:val="clear" w:pos="4680"/>
        <w:tab w:val="clear" w:pos="9360"/>
        <w:tab w:val="left" w:pos="7200"/>
      </w:tabs>
    </w:pPr>
    <w:r>
      <w:rPr>
        <w:noProof/>
      </w:rPr>
      <w:drawing>
        <wp:anchor distT="0" distB="0" distL="114300" distR="114300" simplePos="0" relativeHeight="251705344" behindDoc="1" locked="0" layoutInCell="1" allowOverlap="1" wp14:anchorId="20456A89" wp14:editId="78B69629">
          <wp:simplePos x="0" y="0"/>
          <wp:positionH relativeFrom="margin">
            <wp:posOffset>-949960</wp:posOffset>
          </wp:positionH>
          <wp:positionV relativeFrom="paragraph">
            <wp:posOffset>-409121</wp:posOffset>
          </wp:positionV>
          <wp:extent cx="7629486" cy="1356522"/>
          <wp:effectExtent l="0" t="0" r="0" b="0"/>
          <wp:wrapNone/>
          <wp:docPr id="1731264128" name="Picture 3" descr="A yellow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4128" name="Picture 3" descr="A yellow and blue circ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9486" cy="1356522"/>
                  </a:xfrm>
                  <a:prstGeom prst="rect">
                    <a:avLst/>
                  </a:prstGeom>
                </pic:spPr>
              </pic:pic>
            </a:graphicData>
          </a:graphic>
          <wp14:sizeRelH relativeFrom="page">
            <wp14:pctWidth>0</wp14:pctWidth>
          </wp14:sizeRelH>
          <wp14:sizeRelV relativeFrom="page">
            <wp14:pctHeight>0</wp14:pctHeight>
          </wp14:sizeRelV>
        </wp:anchor>
      </w:drawing>
    </w:r>
    <w:r w:rsidR="00031F11">
      <w:tab/>
    </w:r>
  </w:p>
  <w:p w14:paraId="6224AF20" w14:textId="77777777" w:rsidR="00031F11" w:rsidRDefault="00031F11">
    <w:pPr>
      <w:pStyle w:val="Rodap"/>
    </w:pPr>
  </w:p>
  <w:p w14:paraId="345F4953" w14:textId="77777777" w:rsidR="00031F11" w:rsidRDefault="00031F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873B3" w14:textId="77777777" w:rsidR="00C7218C" w:rsidRDefault="00C7218C" w:rsidP="00092CBA">
      <w:pPr>
        <w:spacing w:after="0" w:line="240" w:lineRule="auto"/>
      </w:pPr>
      <w:r>
        <w:separator/>
      </w:r>
    </w:p>
  </w:footnote>
  <w:footnote w:type="continuationSeparator" w:id="0">
    <w:p w14:paraId="1391C98E" w14:textId="77777777" w:rsidR="00C7218C" w:rsidRDefault="00C7218C" w:rsidP="00092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6DF4" w14:textId="77777777" w:rsidR="00D34060" w:rsidRDefault="00000000">
    <w:pPr>
      <w:pStyle w:val="Cabealho"/>
    </w:pPr>
    <w:r>
      <w:rPr>
        <w:noProof/>
        <w:lang w:eastAsia="zh-CN"/>
      </w:rPr>
      <w:pict w14:anchorId="4B7663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10" o:spid="_x0000_s1047" type="#_x0000_t75" style="position:absolute;margin-left:0;margin-top:0;width:451.15pt;height:638.4pt;z-index:-251614208;mso-position-horizontal:center;mso-position-horizontal-relative:margin;mso-position-vertical:center;mso-position-vertical-relative:margin" o:allowincell="f">
          <v:imagedata r:id="rId1" o:title="dfhgtr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3B40" w14:textId="1CB5F475" w:rsidR="00F57FFE" w:rsidRDefault="004B5D50">
    <w:pPr>
      <w:pStyle w:val="Cabealho"/>
    </w:pPr>
    <w:r>
      <w:rPr>
        <w:noProof/>
        <w:lang w:eastAsia="zh-CN"/>
      </w:rPr>
      <w:drawing>
        <wp:anchor distT="0" distB="0" distL="114300" distR="114300" simplePos="0" relativeHeight="251704320" behindDoc="1" locked="0" layoutInCell="1" allowOverlap="1" wp14:anchorId="480296D3" wp14:editId="7475611D">
          <wp:simplePos x="0" y="0"/>
          <wp:positionH relativeFrom="column">
            <wp:posOffset>3179658</wp:posOffset>
          </wp:positionH>
          <wp:positionV relativeFrom="paragraph">
            <wp:posOffset>-90170</wp:posOffset>
          </wp:positionV>
          <wp:extent cx="172177" cy="1075516"/>
          <wp:effectExtent l="0" t="0" r="0" b="0"/>
          <wp:wrapNone/>
          <wp:docPr id="442906617" name="Picture 2"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6617" name="Picture 2" descr="A yellow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2177" cy="1075516"/>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703296" behindDoc="1" locked="0" layoutInCell="1" allowOverlap="1" wp14:anchorId="058AAD8A" wp14:editId="17518CFC">
          <wp:simplePos x="0" y="0"/>
          <wp:positionH relativeFrom="margin">
            <wp:posOffset>0</wp:posOffset>
          </wp:positionH>
          <wp:positionV relativeFrom="paragraph">
            <wp:posOffset>-45376</wp:posOffset>
          </wp:positionV>
          <wp:extent cx="1654175" cy="1146810"/>
          <wp:effectExtent l="0" t="0" r="3175" b="0"/>
          <wp:wrapNone/>
          <wp:docPr id="91069049" name="Picture 1" descr="A yellow glob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049" name="Picture 1" descr="A yellow globe with blu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54175" cy="1146810"/>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mc:AlternateContent>
        <mc:Choice Requires="wps">
          <w:drawing>
            <wp:anchor distT="0" distB="0" distL="114300" distR="114300" simplePos="0" relativeHeight="251663360" behindDoc="1" locked="0" layoutInCell="1" allowOverlap="1" wp14:anchorId="3A99DE5D" wp14:editId="00D55C69">
              <wp:simplePos x="0" y="0"/>
              <wp:positionH relativeFrom="margin">
                <wp:posOffset>3281584</wp:posOffset>
              </wp:positionH>
              <wp:positionV relativeFrom="paragraph">
                <wp:posOffset>-149551</wp:posOffset>
              </wp:positionV>
              <wp:extent cx="2640651" cy="1546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640651" cy="154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3"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4"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9DE5D" id="_x0000_t202" coordsize="21600,21600" o:spt="202" path="m,l,21600r21600,l21600,xe">
              <v:stroke joinstyle="miter"/>
              <v:path gradientshapeok="t" o:connecttype="rect"/>
            </v:shapetype>
            <v:shape id="Text Box 10" o:spid="_x0000_s1026" type="#_x0000_t202" style="position:absolute;margin-left:258.4pt;margin-top:-11.8pt;width:207.95pt;height:121.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" filled="f" stroked="f" strokeweight=".5pt">
              <v:textbo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5"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6"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v:textbox>
              <w10:wrap anchorx="margin"/>
            </v:shape>
          </w:pict>
        </mc:Fallback>
      </mc:AlternateContent>
    </w:r>
  </w:p>
  <w:p w14:paraId="12BFEEDA" w14:textId="012EA742" w:rsidR="00F57FFE" w:rsidRDefault="00F57FFE">
    <w:pPr>
      <w:pStyle w:val="Cabealho"/>
    </w:pPr>
  </w:p>
  <w:p w14:paraId="683AEA8C" w14:textId="7D579CE4" w:rsidR="00F57FFE" w:rsidRDefault="00F57FFE">
    <w:pPr>
      <w:pStyle w:val="Cabealho"/>
    </w:pPr>
  </w:p>
  <w:p w14:paraId="3744F665" w14:textId="5AFB095C" w:rsidR="00E31C07" w:rsidRDefault="00E31C07">
    <w:pPr>
      <w:pStyle w:val="Cabealho"/>
    </w:pPr>
  </w:p>
  <w:p w14:paraId="6BAD4BFE" w14:textId="1368ABC3" w:rsidR="00E31C07" w:rsidRDefault="00652B9D" w:rsidP="00652B9D">
    <w:pPr>
      <w:pStyle w:val="Cabealho"/>
      <w:tabs>
        <w:tab w:val="clear" w:pos="4680"/>
        <w:tab w:val="clear" w:pos="9360"/>
        <w:tab w:val="left" w:pos="5184"/>
      </w:tabs>
    </w:pPr>
    <w:r>
      <w:tab/>
    </w:r>
  </w:p>
  <w:p w14:paraId="58962FA3" w14:textId="167FF5C6" w:rsidR="002020AA" w:rsidRDefault="002020AA">
    <w:pPr>
      <w:pStyle w:val="Cabealho"/>
    </w:pPr>
  </w:p>
  <w:p w14:paraId="72493E2A" w14:textId="6D2EF51D" w:rsidR="00E31C07" w:rsidRDefault="00E31C07">
    <w:pPr>
      <w:pStyle w:val="Cabealho"/>
    </w:pPr>
  </w:p>
  <w:p w14:paraId="1E509224" w14:textId="77777777" w:rsidR="004B5D50" w:rsidRDefault="004B5D5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CEB5" w14:textId="77777777" w:rsidR="00D34060" w:rsidRDefault="00000000">
    <w:pPr>
      <w:pStyle w:val="Cabealho"/>
    </w:pPr>
    <w:r>
      <w:rPr>
        <w:noProof/>
        <w:lang w:eastAsia="zh-CN"/>
      </w:rPr>
      <w:pict w14:anchorId="4027C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09" o:spid="_x0000_s1046" type="#_x0000_t75" style="position:absolute;margin-left:0;margin-top:0;width:451.15pt;height:638.4pt;z-index:-251615232;mso-position-horizontal:center;mso-position-horizontal-relative:margin;mso-position-vertical:center;mso-position-vertical-relative:margin" o:allowincell="f">
          <v:imagedata r:id="rId1" o:title="dfhgtr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714C"/>
    <w:multiLevelType w:val="multilevel"/>
    <w:tmpl w:val="857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E5276"/>
    <w:multiLevelType w:val="hybridMultilevel"/>
    <w:tmpl w:val="6186C7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8AA5658"/>
    <w:multiLevelType w:val="multilevel"/>
    <w:tmpl w:val="E3C48B1C"/>
    <w:lvl w:ilvl="0">
      <w:start w:val="1"/>
      <w:numFmt w:val="decimal"/>
      <w:lvlText w:val="%1."/>
      <w:lvlJc w:val="left"/>
      <w:pPr>
        <w:tabs>
          <w:tab w:val="num" w:pos="786"/>
        </w:tabs>
        <w:ind w:left="786"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2068A"/>
    <w:multiLevelType w:val="multilevel"/>
    <w:tmpl w:val="BD2E0D86"/>
    <w:lvl w:ilvl="0">
      <w:start w:val="10"/>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C3D07"/>
    <w:multiLevelType w:val="multilevel"/>
    <w:tmpl w:val="0E820890"/>
    <w:lvl w:ilvl="0">
      <w:start w:val="1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A139B"/>
    <w:multiLevelType w:val="hybridMultilevel"/>
    <w:tmpl w:val="24B6B0BE"/>
    <w:lvl w:ilvl="0" w:tplc="C4441C18">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38177463">
    <w:abstractNumId w:val="2"/>
  </w:num>
  <w:num w:numId="2" w16cid:durableId="202180380">
    <w:abstractNumId w:val="3"/>
  </w:num>
  <w:num w:numId="3" w16cid:durableId="2081637991">
    <w:abstractNumId w:val="4"/>
  </w:num>
  <w:num w:numId="4" w16cid:durableId="1398477802">
    <w:abstractNumId w:val="0"/>
  </w:num>
  <w:num w:numId="5" w16cid:durableId="304968323">
    <w:abstractNumId w:val="5"/>
  </w:num>
  <w:num w:numId="6" w16cid:durableId="168867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CBA"/>
    <w:rsid w:val="0000095D"/>
    <w:rsid w:val="0001193E"/>
    <w:rsid w:val="00031F04"/>
    <w:rsid w:val="00031F11"/>
    <w:rsid w:val="00054ED2"/>
    <w:rsid w:val="00055321"/>
    <w:rsid w:val="0008095C"/>
    <w:rsid w:val="000925C4"/>
    <w:rsid w:val="00092CBA"/>
    <w:rsid w:val="000E41C3"/>
    <w:rsid w:val="00143333"/>
    <w:rsid w:val="001536AF"/>
    <w:rsid w:val="001C5629"/>
    <w:rsid w:val="001E33EE"/>
    <w:rsid w:val="001E3B74"/>
    <w:rsid w:val="001F0A34"/>
    <w:rsid w:val="002020AA"/>
    <w:rsid w:val="0020660B"/>
    <w:rsid w:val="00222FF5"/>
    <w:rsid w:val="00226382"/>
    <w:rsid w:val="00253BFC"/>
    <w:rsid w:val="0025727F"/>
    <w:rsid w:val="00270CF4"/>
    <w:rsid w:val="002D7AB8"/>
    <w:rsid w:val="002F3866"/>
    <w:rsid w:val="00337296"/>
    <w:rsid w:val="0034619E"/>
    <w:rsid w:val="003C0074"/>
    <w:rsid w:val="003D229B"/>
    <w:rsid w:val="00414D74"/>
    <w:rsid w:val="00433696"/>
    <w:rsid w:val="0044302E"/>
    <w:rsid w:val="00491BE8"/>
    <w:rsid w:val="00491C22"/>
    <w:rsid w:val="004935F4"/>
    <w:rsid w:val="00493B59"/>
    <w:rsid w:val="004B5D50"/>
    <w:rsid w:val="004D2554"/>
    <w:rsid w:val="004E3C8A"/>
    <w:rsid w:val="004F351B"/>
    <w:rsid w:val="004F3767"/>
    <w:rsid w:val="00517CA9"/>
    <w:rsid w:val="00567D3D"/>
    <w:rsid w:val="005915D8"/>
    <w:rsid w:val="005C5774"/>
    <w:rsid w:val="00652B9D"/>
    <w:rsid w:val="006821B3"/>
    <w:rsid w:val="006D4374"/>
    <w:rsid w:val="00771018"/>
    <w:rsid w:val="00792B60"/>
    <w:rsid w:val="00797540"/>
    <w:rsid w:val="007A200B"/>
    <w:rsid w:val="007C66D1"/>
    <w:rsid w:val="00802719"/>
    <w:rsid w:val="008A1526"/>
    <w:rsid w:val="008A343D"/>
    <w:rsid w:val="008E70B0"/>
    <w:rsid w:val="009124D6"/>
    <w:rsid w:val="00924B10"/>
    <w:rsid w:val="00933386"/>
    <w:rsid w:val="009930A3"/>
    <w:rsid w:val="00A630F5"/>
    <w:rsid w:val="00A801D4"/>
    <w:rsid w:val="00BA0074"/>
    <w:rsid w:val="00BC1430"/>
    <w:rsid w:val="00BE433C"/>
    <w:rsid w:val="00C47552"/>
    <w:rsid w:val="00C7218C"/>
    <w:rsid w:val="00CA737F"/>
    <w:rsid w:val="00D10ED6"/>
    <w:rsid w:val="00D14328"/>
    <w:rsid w:val="00D211F6"/>
    <w:rsid w:val="00D34060"/>
    <w:rsid w:val="00D470BF"/>
    <w:rsid w:val="00D85FCC"/>
    <w:rsid w:val="00DB24DE"/>
    <w:rsid w:val="00E054E8"/>
    <w:rsid w:val="00E31C07"/>
    <w:rsid w:val="00E8599F"/>
    <w:rsid w:val="00EC60DD"/>
    <w:rsid w:val="00EF367F"/>
    <w:rsid w:val="00F14035"/>
    <w:rsid w:val="00F25C94"/>
    <w:rsid w:val="00F57FFE"/>
    <w:rsid w:val="00F95927"/>
    <w:rsid w:val="00FD0A6F"/>
    <w:rsid w:val="00FD6B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93630"/>
  <w15:chartTrackingRefBased/>
  <w15:docId w15:val="{63683AFE-ABB1-42B9-A0A1-543BA8F6D2D5}"/>
  <w:autoHyphenation w:val="true"/>
  <w:doNotHyphenateCaps w:val="false"/>
  <w:hyphenationZone w:val="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092CBA"/>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092CBA"/>
  </w:style>
  <w:style w:type="paragraph" w:styleId="Rodap">
    <w:name w:val="footer"/>
    <w:basedOn w:val="Normal"/>
    <w:link w:val="RodapCarter"/>
    <w:uiPriority w:val="99"/>
    <w:unhideWhenUsed/>
    <w:rsid w:val="00092CBA"/>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092CBA"/>
  </w:style>
  <w:style w:type="paragraph" w:styleId="SemEspaamento">
    <w:name w:val="No Spacing"/>
    <w:uiPriority w:val="1"/>
    <w:qFormat/>
    <w:rsid w:val="00491C22"/>
    <w:pPr>
      <w:spacing w:after="0" w:line="240" w:lineRule="auto"/>
    </w:pPr>
  </w:style>
  <w:style w:type="character" w:styleId="Hiperligao">
    <w:name w:val="Hyperlink"/>
    <w:basedOn w:val="Tipodeletrapredefinidodopargrafo"/>
    <w:uiPriority w:val="99"/>
    <w:unhideWhenUsed/>
    <w:rsid w:val="00A630F5"/>
    <w:rPr>
      <w:color w:val="0563C1" w:themeColor="hyperlink"/>
      <w:u w:val="single"/>
    </w:rPr>
  </w:style>
  <w:style w:type="paragraph" w:customStyle="1" w:styleId="paragraph">
    <w:name w:val="paragraph"/>
    <w:basedOn w:val="Normal"/>
    <w:rsid w:val="00337296"/>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character" w:customStyle="1" w:styleId="normaltextrun">
    <w:name w:val="normaltextrun"/>
    <w:basedOn w:val="Tipodeletrapredefinidodopargrafo"/>
    <w:rsid w:val="00337296"/>
  </w:style>
  <w:style w:type="character" w:customStyle="1" w:styleId="eop">
    <w:name w:val="eop"/>
    <w:basedOn w:val="Tipodeletrapredefinidodopargrafo"/>
    <w:rsid w:val="00337296"/>
  </w:style>
  <w:style w:type="paragraph" w:styleId="PargrafodaLista">
    <w:name w:val="List Paragraph"/>
    <w:basedOn w:val="Normal"/>
    <w:uiPriority w:val="34"/>
    <w:qFormat/>
    <w:rsid w:val="00BE433C"/>
    <w:pPr>
      <w:ind w:left="720"/>
      <w:contextualSpacing/>
    </w:pPr>
  </w:style>
  <w:style w:type="character" w:styleId="MenoNoResolvida">
    <w:name w:val="Unresolved Mention"/>
    <w:basedOn w:val="Tipodeletrapredefinidodopargrafo"/>
    <w:uiPriority w:val="99"/>
    <w:semiHidden/>
    <w:unhideWhenUsed/>
    <w:rsid w:val="00652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35433">
      <w:bodyDiv w:val="1"/>
      <w:marLeft w:val="0"/>
      <w:marRight w:val="0"/>
      <w:marTop w:val="0"/>
      <w:marBottom w:val="0"/>
      <w:divBdr>
        <w:top w:val="none" w:sz="0" w:space="0" w:color="auto"/>
        <w:left w:val="none" w:sz="0" w:space="0" w:color="auto"/>
        <w:bottom w:val="none" w:sz="0" w:space="0" w:color="auto"/>
        <w:right w:val="none" w:sz="0" w:space="0" w:color="auto"/>
      </w:divBdr>
    </w:div>
    <w:div w:id="576524426">
      <w:bodyDiv w:val="1"/>
      <w:marLeft w:val="0"/>
      <w:marRight w:val="0"/>
      <w:marTop w:val="0"/>
      <w:marBottom w:val="0"/>
      <w:divBdr>
        <w:top w:val="none" w:sz="0" w:space="0" w:color="auto"/>
        <w:left w:val="none" w:sz="0" w:space="0" w:color="auto"/>
        <w:bottom w:val="none" w:sz="0" w:space="0" w:color="auto"/>
        <w:right w:val="none" w:sz="0" w:space="0" w:color="auto"/>
      </w:divBdr>
      <w:divsChild>
        <w:div w:id="1582372907">
          <w:marLeft w:val="0"/>
          <w:marRight w:val="0"/>
          <w:marTop w:val="0"/>
          <w:marBottom w:val="0"/>
          <w:divBdr>
            <w:top w:val="none" w:sz="0" w:space="0" w:color="auto"/>
            <w:left w:val="none" w:sz="0" w:space="0" w:color="auto"/>
            <w:bottom w:val="none" w:sz="0" w:space="0" w:color="auto"/>
            <w:right w:val="none" w:sz="0" w:space="0" w:color="auto"/>
          </w:divBdr>
        </w:div>
        <w:div w:id="940377547">
          <w:marLeft w:val="0"/>
          <w:marRight w:val="0"/>
          <w:marTop w:val="0"/>
          <w:marBottom w:val="0"/>
          <w:divBdr>
            <w:top w:val="none" w:sz="0" w:space="0" w:color="auto"/>
            <w:left w:val="none" w:sz="0" w:space="0" w:color="auto"/>
            <w:bottom w:val="none" w:sz="0" w:space="0" w:color="auto"/>
            <w:right w:val="none" w:sz="0" w:space="0" w:color="auto"/>
          </w:divBdr>
        </w:div>
        <w:div w:id="982664572">
          <w:marLeft w:val="0"/>
          <w:marRight w:val="0"/>
          <w:marTop w:val="0"/>
          <w:marBottom w:val="0"/>
          <w:divBdr>
            <w:top w:val="none" w:sz="0" w:space="0" w:color="auto"/>
            <w:left w:val="none" w:sz="0" w:space="0" w:color="auto"/>
            <w:bottom w:val="none" w:sz="0" w:space="0" w:color="auto"/>
            <w:right w:val="none" w:sz="0" w:space="0" w:color="auto"/>
          </w:divBdr>
        </w:div>
        <w:div w:id="1183862365">
          <w:marLeft w:val="0"/>
          <w:marRight w:val="0"/>
          <w:marTop w:val="0"/>
          <w:marBottom w:val="0"/>
          <w:divBdr>
            <w:top w:val="none" w:sz="0" w:space="0" w:color="auto"/>
            <w:left w:val="none" w:sz="0" w:space="0" w:color="auto"/>
            <w:bottom w:val="none" w:sz="0" w:space="0" w:color="auto"/>
            <w:right w:val="none" w:sz="0" w:space="0" w:color="auto"/>
          </w:divBdr>
        </w:div>
        <w:div w:id="1377393018">
          <w:marLeft w:val="0"/>
          <w:marRight w:val="0"/>
          <w:marTop w:val="0"/>
          <w:marBottom w:val="0"/>
          <w:divBdr>
            <w:top w:val="none" w:sz="0" w:space="0" w:color="auto"/>
            <w:left w:val="none" w:sz="0" w:space="0" w:color="auto"/>
            <w:bottom w:val="none" w:sz="0" w:space="0" w:color="auto"/>
            <w:right w:val="none" w:sz="0" w:space="0" w:color="auto"/>
          </w:divBdr>
        </w:div>
        <w:div w:id="957417456">
          <w:marLeft w:val="0"/>
          <w:marRight w:val="0"/>
          <w:marTop w:val="0"/>
          <w:marBottom w:val="0"/>
          <w:divBdr>
            <w:top w:val="none" w:sz="0" w:space="0" w:color="auto"/>
            <w:left w:val="none" w:sz="0" w:space="0" w:color="auto"/>
            <w:bottom w:val="none" w:sz="0" w:space="0" w:color="auto"/>
            <w:right w:val="none" w:sz="0" w:space="0" w:color="auto"/>
          </w:divBdr>
        </w:div>
        <w:div w:id="358046701">
          <w:marLeft w:val="0"/>
          <w:marRight w:val="0"/>
          <w:marTop w:val="0"/>
          <w:marBottom w:val="0"/>
          <w:divBdr>
            <w:top w:val="none" w:sz="0" w:space="0" w:color="auto"/>
            <w:left w:val="none" w:sz="0" w:space="0" w:color="auto"/>
            <w:bottom w:val="none" w:sz="0" w:space="0" w:color="auto"/>
            <w:right w:val="none" w:sz="0" w:space="0" w:color="auto"/>
          </w:divBdr>
        </w:div>
        <w:div w:id="1223710547">
          <w:marLeft w:val="0"/>
          <w:marRight w:val="0"/>
          <w:marTop w:val="0"/>
          <w:marBottom w:val="0"/>
          <w:divBdr>
            <w:top w:val="none" w:sz="0" w:space="0" w:color="auto"/>
            <w:left w:val="none" w:sz="0" w:space="0" w:color="auto"/>
            <w:bottom w:val="none" w:sz="0" w:space="0" w:color="auto"/>
            <w:right w:val="none" w:sz="0" w:space="0" w:color="auto"/>
          </w:divBdr>
        </w:div>
        <w:div w:id="836119743">
          <w:marLeft w:val="0"/>
          <w:marRight w:val="0"/>
          <w:marTop w:val="0"/>
          <w:marBottom w:val="0"/>
          <w:divBdr>
            <w:top w:val="none" w:sz="0" w:space="0" w:color="auto"/>
            <w:left w:val="none" w:sz="0" w:space="0" w:color="auto"/>
            <w:bottom w:val="none" w:sz="0" w:space="0" w:color="auto"/>
            <w:right w:val="none" w:sz="0" w:space="0" w:color="auto"/>
          </w:divBdr>
        </w:div>
        <w:div w:id="869144536">
          <w:marLeft w:val="0"/>
          <w:marRight w:val="0"/>
          <w:marTop w:val="0"/>
          <w:marBottom w:val="0"/>
          <w:divBdr>
            <w:top w:val="none" w:sz="0" w:space="0" w:color="auto"/>
            <w:left w:val="none" w:sz="0" w:space="0" w:color="auto"/>
            <w:bottom w:val="none" w:sz="0" w:space="0" w:color="auto"/>
            <w:right w:val="none" w:sz="0" w:space="0" w:color="auto"/>
          </w:divBdr>
        </w:div>
        <w:div w:id="951977593">
          <w:marLeft w:val="0"/>
          <w:marRight w:val="0"/>
          <w:marTop w:val="0"/>
          <w:marBottom w:val="0"/>
          <w:divBdr>
            <w:top w:val="none" w:sz="0" w:space="0" w:color="auto"/>
            <w:left w:val="none" w:sz="0" w:space="0" w:color="auto"/>
            <w:bottom w:val="none" w:sz="0" w:space="0" w:color="auto"/>
            <w:right w:val="none" w:sz="0" w:space="0" w:color="auto"/>
          </w:divBdr>
        </w:div>
        <w:div w:id="1217934797">
          <w:marLeft w:val="0"/>
          <w:marRight w:val="0"/>
          <w:marTop w:val="0"/>
          <w:marBottom w:val="0"/>
          <w:divBdr>
            <w:top w:val="none" w:sz="0" w:space="0" w:color="auto"/>
            <w:left w:val="none" w:sz="0" w:space="0" w:color="auto"/>
            <w:bottom w:val="none" w:sz="0" w:space="0" w:color="auto"/>
            <w:right w:val="none" w:sz="0" w:space="0" w:color="auto"/>
          </w:divBdr>
        </w:div>
        <w:div w:id="53478925">
          <w:marLeft w:val="0"/>
          <w:marRight w:val="0"/>
          <w:marTop w:val="0"/>
          <w:marBottom w:val="0"/>
          <w:divBdr>
            <w:top w:val="none" w:sz="0" w:space="0" w:color="auto"/>
            <w:left w:val="none" w:sz="0" w:space="0" w:color="auto"/>
            <w:bottom w:val="none" w:sz="0" w:space="0" w:color="auto"/>
            <w:right w:val="none" w:sz="0" w:space="0" w:color="auto"/>
          </w:divBdr>
        </w:div>
        <w:div w:id="777608080">
          <w:marLeft w:val="0"/>
          <w:marRight w:val="0"/>
          <w:marTop w:val="0"/>
          <w:marBottom w:val="0"/>
          <w:divBdr>
            <w:top w:val="none" w:sz="0" w:space="0" w:color="auto"/>
            <w:left w:val="none" w:sz="0" w:space="0" w:color="auto"/>
            <w:bottom w:val="none" w:sz="0" w:space="0" w:color="auto"/>
            <w:right w:val="none" w:sz="0" w:space="0" w:color="auto"/>
          </w:divBdr>
        </w:div>
        <w:div w:id="1030834468">
          <w:marLeft w:val="0"/>
          <w:marRight w:val="0"/>
          <w:marTop w:val="0"/>
          <w:marBottom w:val="0"/>
          <w:divBdr>
            <w:top w:val="none" w:sz="0" w:space="0" w:color="auto"/>
            <w:left w:val="none" w:sz="0" w:space="0" w:color="auto"/>
            <w:bottom w:val="none" w:sz="0" w:space="0" w:color="auto"/>
            <w:right w:val="none" w:sz="0" w:space="0" w:color="auto"/>
          </w:divBdr>
        </w:div>
        <w:div w:id="178399071">
          <w:marLeft w:val="0"/>
          <w:marRight w:val="0"/>
          <w:marTop w:val="0"/>
          <w:marBottom w:val="0"/>
          <w:divBdr>
            <w:top w:val="none" w:sz="0" w:space="0" w:color="auto"/>
            <w:left w:val="none" w:sz="0" w:space="0" w:color="auto"/>
            <w:bottom w:val="none" w:sz="0" w:space="0" w:color="auto"/>
            <w:right w:val="none" w:sz="0" w:space="0" w:color="auto"/>
          </w:divBdr>
        </w:div>
        <w:div w:id="2087260741">
          <w:marLeft w:val="0"/>
          <w:marRight w:val="0"/>
          <w:marTop w:val="0"/>
          <w:marBottom w:val="0"/>
          <w:divBdr>
            <w:top w:val="none" w:sz="0" w:space="0" w:color="auto"/>
            <w:left w:val="none" w:sz="0" w:space="0" w:color="auto"/>
            <w:bottom w:val="none" w:sz="0" w:space="0" w:color="auto"/>
            <w:right w:val="none" w:sz="0" w:space="0" w:color="auto"/>
          </w:divBdr>
        </w:div>
        <w:div w:id="1720326634">
          <w:marLeft w:val="0"/>
          <w:marRight w:val="0"/>
          <w:marTop w:val="0"/>
          <w:marBottom w:val="0"/>
          <w:divBdr>
            <w:top w:val="none" w:sz="0" w:space="0" w:color="auto"/>
            <w:left w:val="none" w:sz="0" w:space="0" w:color="auto"/>
            <w:bottom w:val="none" w:sz="0" w:space="0" w:color="auto"/>
            <w:right w:val="none" w:sz="0" w:space="0" w:color="auto"/>
          </w:divBdr>
        </w:div>
        <w:div w:id="1097096310">
          <w:marLeft w:val="0"/>
          <w:marRight w:val="0"/>
          <w:marTop w:val="0"/>
          <w:marBottom w:val="0"/>
          <w:divBdr>
            <w:top w:val="none" w:sz="0" w:space="0" w:color="auto"/>
            <w:left w:val="none" w:sz="0" w:space="0" w:color="auto"/>
            <w:bottom w:val="none" w:sz="0" w:space="0" w:color="auto"/>
            <w:right w:val="none" w:sz="0" w:space="0" w:color="auto"/>
          </w:divBdr>
        </w:div>
        <w:div w:id="808013562">
          <w:marLeft w:val="0"/>
          <w:marRight w:val="0"/>
          <w:marTop w:val="0"/>
          <w:marBottom w:val="0"/>
          <w:divBdr>
            <w:top w:val="none" w:sz="0" w:space="0" w:color="auto"/>
            <w:left w:val="none" w:sz="0" w:space="0" w:color="auto"/>
            <w:bottom w:val="none" w:sz="0" w:space="0" w:color="auto"/>
            <w:right w:val="none" w:sz="0" w:space="0" w:color="auto"/>
          </w:divBdr>
        </w:div>
        <w:div w:id="1635679161">
          <w:marLeft w:val="0"/>
          <w:marRight w:val="0"/>
          <w:marTop w:val="0"/>
          <w:marBottom w:val="0"/>
          <w:divBdr>
            <w:top w:val="none" w:sz="0" w:space="0" w:color="auto"/>
            <w:left w:val="none" w:sz="0" w:space="0" w:color="auto"/>
            <w:bottom w:val="none" w:sz="0" w:space="0" w:color="auto"/>
            <w:right w:val="none" w:sz="0" w:space="0" w:color="auto"/>
          </w:divBdr>
        </w:div>
        <w:div w:id="343240241">
          <w:marLeft w:val="0"/>
          <w:marRight w:val="0"/>
          <w:marTop w:val="0"/>
          <w:marBottom w:val="0"/>
          <w:divBdr>
            <w:top w:val="none" w:sz="0" w:space="0" w:color="auto"/>
            <w:left w:val="none" w:sz="0" w:space="0" w:color="auto"/>
            <w:bottom w:val="none" w:sz="0" w:space="0" w:color="auto"/>
            <w:right w:val="none" w:sz="0" w:space="0" w:color="auto"/>
          </w:divBdr>
        </w:div>
        <w:div w:id="98912842">
          <w:marLeft w:val="0"/>
          <w:marRight w:val="0"/>
          <w:marTop w:val="0"/>
          <w:marBottom w:val="0"/>
          <w:divBdr>
            <w:top w:val="none" w:sz="0" w:space="0" w:color="auto"/>
            <w:left w:val="none" w:sz="0" w:space="0" w:color="auto"/>
            <w:bottom w:val="none" w:sz="0" w:space="0" w:color="auto"/>
            <w:right w:val="none" w:sz="0" w:space="0" w:color="auto"/>
          </w:divBdr>
        </w:div>
      </w:divsChild>
    </w:div>
    <w:div w:id="94013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patriciaviana-65755L@adv.oa.pt"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s://visas.vianaconsultancy.com/" TargetMode="External"/><Relationship Id="rId5" Type="http://schemas.openxmlformats.org/officeDocument/2006/relationships/hyperlink" Target="mailto:patriciaviana-65755L@adv.oa.pt" TargetMode="External"/><Relationship Id="rId4" Type="http://schemas.openxmlformats.org/officeDocument/2006/relationships/hyperlink" Target="https://visas.vianaconsultancy.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3951</Words>
  <Characters>21340</Characters>
  <Application>Microsoft Office Word</Application>
  <DocSecurity>0</DocSecurity>
  <Lines>177</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Patrícia Soares Viana</cp:lastModifiedBy>
  <cp:revision>2</cp:revision>
  <cp:lastPrinted>2025-05-16T14:01:00Z</cp:lastPrinted>
  <dcterms:created xsi:type="dcterms:W3CDTF">2026-05-05T19:59:00Z</dcterms:created>
  <dcterms:modified xsi:type="dcterms:W3CDTF">2026-05-05T19:59:00Z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e91add86fb4a6ec78347a138bbf1f6673bb281ac37a62f72a25b004e01f61a9f</vt:lpwstr>
  </property>
  <property fmtid="{D5CDD505-2E9C-101B-9397-08002B2CF9AE}" pid="3" name="MSIP_Label_defa4170-0d19-0005-0004-bc88714345d2_Enabled">
    <vt:lpwstr>true</vt:lpwstr>
  </property>
  <property fmtid="{D5CDD505-2E9C-101B-9397-08002B2CF9AE}" pid="4" name="MSIP_Label_defa4170-0d19-0005-0004-bc88714345d2_SetDate">
    <vt:lpwstr>2024-03-12T19:54:58Z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b830d09f-dfd0-4ba9-902b-eba29fb959d7</vt:lpwstr>
  </property>
  <property fmtid="{D5CDD505-2E9C-101B-9397-08002B2CF9AE}" pid="8" name="MSIP_Label_defa4170-0d19-0005-0004-bc88714345d2_ActionId">
    <vt:lpwstr>157aaffa-b273-44ee-9db2-1930bfd24343</vt:lpwstr>
  </property>
  <property fmtid="{D5CDD505-2E9C-101B-9397-08002B2CF9AE}" pid="9" name="MSIP_Label_defa4170-0d19-0005-0004-bc88714345d2_ContentBits">
    <vt:lpwstr>0</vt:lpwstr>
  </property>
</Properties>
</file>