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poc4tw8i0575" w:id="0"/>
      <w:bookmarkEnd w:id="0"/>
      <w:r w:rsidDel="00000000" w:rsidR="00000000" w:rsidRPr="00000000">
        <w:rPr>
          <w:rtl w:val="0"/>
        </w:rPr>
        <w:t xml:space="preserve">German Credit Dataset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form:</w:t>
      </w:r>
      <w:r w:rsidDel="00000000" w:rsidR="00000000" w:rsidRPr="00000000">
        <w:rPr>
          <w:b w:val="1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http://archive.ics.uci.edu/ml/machine-learning-databases/statlog/german/german.data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http://archive.ics.uci.edu/ml/machine-learning-databases/statlog/german/german.data-numeric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1: Status of existing checking account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2: Duration in month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3: Credit history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4: Purpose of loan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5: Credit amount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6: Savings account/bonds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7: Present employment since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8: Installment rate in percentage of disposable income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9: Personal status and sex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10: Other debtors / guarantors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11: Present residence since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12: Property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13: Age in years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14: Other installment plans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15: Housing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16: Number of existing credits at this bank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17: Job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18: Number of people being liable to provide maintenance for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19: Telephone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20: foreign worker </w:t>
      </w:r>
    </w:p>
    <w:p w:rsidR="00000000" w:rsidDel="00000000" w:rsidP="00000000" w:rsidRDefault="00000000" w:rsidRPr="00000000">
      <w:pPr>
        <w:pBdr/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  <w:t xml:space="preserve">Attribute 21: Label or class</w:t>
      </w:r>
      <w:r w:rsidDel="00000000" w:rsidR="00000000" w:rsidRPr="00000000">
        <w:rPr>
          <w:color w:val="12365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entry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form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A11 6 A34 A43 1169 A65 A75 4 A93 A101 4 A121 67 A143 A152 2 A173 1 A192 A201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Numeric form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1   6   4  12   5   5   3   4   1  67   3   2   1   2   1   0   0   1   0   0   1   0   0   1   1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Data form: Attribute 21 (Label)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means good (customer)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means bad (customer)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Numeric form: Attribute 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 using 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we grant a specific customer loan or not?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http://archive.ics.uci.edu/ml/datasets/Statlog+(German+Credit+Data)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chive.ics.uci.edu/ml/machine-learning-databases/statlog/german/german.data" TargetMode="External"/><Relationship Id="rId6" Type="http://schemas.openxmlformats.org/officeDocument/2006/relationships/hyperlink" Target="http://archive.ics.uci.edu/ml/machine-learning-databases/statlog/german/german.data-numeric" TargetMode="External"/><Relationship Id="rId7" Type="http://schemas.openxmlformats.org/officeDocument/2006/relationships/hyperlink" Target="http://archive.ics.uci.edu/ml/datasets/Statlog+(German+Credit+Data)" TargetMode="External"/></Relationships>
</file>