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53D3A" w14:textId="27B94AC9" w:rsidR="00A45D9E" w:rsidRPr="0069380F" w:rsidRDefault="00000000" w:rsidP="00A8489A">
      <w:pPr>
        <w:pStyle w:val="Titolo1"/>
        <w:rPr>
          <w:sz w:val="36"/>
          <w:szCs w:val="36"/>
        </w:rPr>
      </w:pPr>
      <w:r>
        <w:rPr>
          <w:sz w:val="36"/>
          <w:szCs w:val="36"/>
        </w:rPr>
        <w:t xml:space="preserve">Qualità e Affidabilità </w:t>
      </w:r>
    </w:p>
    <w:bookmarkStart w:id="0" w:name="X9a1cb13627b383f8a4f4680e8bdcfc10d9d666a"/>
    <w:p w14:paraId="0F0663F7" w14:textId="77777777" w:rsidR="00A45D9E" w:rsidRPr="00CB2BC3" w:rsidRDefault="00000000">
      <w:r>
        <w:pict w14:anchorId="01674FFC">
          <v:rect id="_x0000_s1066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  <w:bookmarkEnd w:id="0"/>
    </w:p>
    <w:p w14:paraId="0335C25E" w14:textId="77777777" w:rsidR="00A45D9E" w:rsidRDefault="00000000">
      <w:pPr>
        <w:pStyle w:val="Titolo1"/>
      </w:pPr>
      <w:r>
        <w:t>Modulo 1 — Modelli e Organizzazioni</w:t>
      </w:r>
    </w:p>
    <w:p w14:paraId="6EAC69FF" w14:textId="4783D619" w:rsidR="00373FB0" w:rsidRPr="00373FB0" w:rsidRDefault="00000000" w:rsidP="00373FB0">
      <w:pPr>
        <w:pStyle w:val="Corpotesto"/>
      </w:pPr>
      <w:r>
        <w:pict w14:anchorId="19F783B1">
          <v:rect id="_x0000_s1065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</w:p>
    <w:p w14:paraId="406E3623" w14:textId="77777777" w:rsidR="00A45D9E" w:rsidRPr="0069380F" w:rsidRDefault="00000000">
      <w:pPr>
        <w:pStyle w:val="Titolo2"/>
      </w:pPr>
      <w:bookmarkStart w:id="1" w:name="definizioni-di-base"/>
      <w:r>
        <w:t>1.1 Definizioni di base</w:t>
      </w:r>
    </w:p>
    <w:p w14:paraId="5F1FBA14" w14:textId="77777777" w:rsidR="00A45D9E" w:rsidRPr="00CB2BC3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Qualità</w:t>
      </w:r>
      <w:r>
        <w:t xml:space="preserve"> — capacità di un prodotto/servizio di rispettare </w:t>
      </w:r>
      <w:r>
        <w:rPr>
          <w:highlight w:val="cyan"/>
        </w:rPr>
        <w:t>ciò che è dichiarato</w:t>
      </w:r>
      <w:r>
        <w:t xml:space="preserve"> o richiesto.</w:t>
      </w:r>
    </w:p>
    <w:p w14:paraId="5F32682E" w14:textId="77777777" w:rsidR="00A45D9E" w:rsidRPr="00CB2BC3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Requisito</w:t>
      </w:r>
      <w:r>
        <w:t xml:space="preserve"> — </w:t>
      </w:r>
      <w:r>
        <w:rPr>
          <w:highlight w:val="cyan"/>
        </w:rPr>
        <w:t>esigenza o aspettativa</w:t>
      </w:r>
      <w:r>
        <w:t xml:space="preserve"> che può essere esplicita, implicita o obbligatoria.</w:t>
      </w:r>
    </w:p>
    <w:p w14:paraId="2BD3A187" w14:textId="77777777" w:rsidR="00A45D9E" w:rsidRPr="00CB2BC3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Eccellenza</w:t>
      </w:r>
      <w:r>
        <w:t xml:space="preserve"> — </w:t>
      </w:r>
      <w:r>
        <w:rPr>
          <w:highlight w:val="cyan"/>
        </w:rPr>
        <w:t>livello di prestazioni molto elevato</w:t>
      </w:r>
      <w:r>
        <w:t>, superiore alla media.</w:t>
      </w:r>
    </w:p>
    <w:p w14:paraId="70E87256" w14:textId="77777777" w:rsidR="00A45D9E" w:rsidRPr="00CB2BC3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Conformità</w:t>
      </w:r>
      <w:r>
        <w:t xml:space="preserve"> — </w:t>
      </w:r>
      <w:r>
        <w:rPr>
          <w:highlight w:val="cyan"/>
        </w:rPr>
        <w:t>corrispondenza</w:t>
      </w:r>
      <w:r>
        <w:t xml:space="preserve"> di un prodotto/processo/servizio </w:t>
      </w:r>
      <w:r>
        <w:rPr>
          <w:highlight w:val="cyan"/>
        </w:rPr>
        <w:t>ai requisiti</w:t>
      </w:r>
      <w:r>
        <w:t xml:space="preserve"> </w:t>
      </w:r>
      <w:r>
        <w:rPr>
          <w:highlight w:val="cyan"/>
        </w:rPr>
        <w:t>specificati</w:t>
      </w:r>
      <w:r>
        <w:t>.</w:t>
      </w:r>
    </w:p>
    <w:p w14:paraId="20773339" w14:textId="77777777" w:rsidR="00A45D9E" w:rsidRPr="00CB2BC3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Processo</w:t>
      </w:r>
      <w:r>
        <w:t xml:space="preserve"> — </w:t>
      </w:r>
      <w:r>
        <w:rPr>
          <w:highlight w:val="cyan"/>
        </w:rPr>
        <w:t>insieme di attività correlate</w:t>
      </w:r>
      <w:r>
        <w:t xml:space="preserve"> che trasformano input in output.</w:t>
      </w:r>
    </w:p>
    <w:p w14:paraId="17F4CD6D" w14:textId="77777777" w:rsidR="00A45D9E" w:rsidRPr="00CB2BC3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Sistema</w:t>
      </w:r>
      <w:r>
        <w:t xml:space="preserve"> — </w:t>
      </w:r>
      <w:r>
        <w:rPr>
          <w:highlight w:val="cyan"/>
        </w:rPr>
        <w:t>insieme di elementi e relazioni</w:t>
      </w:r>
      <w:r>
        <w:t xml:space="preserve"> che svolgono una o più funzioni.</w:t>
      </w:r>
    </w:p>
    <w:p w14:paraId="25799F86" w14:textId="77777777" w:rsidR="00A45D9E" w:rsidRPr="00CB2BC3" w:rsidRDefault="00000000">
      <w:pPr>
        <w:pStyle w:val="Compact"/>
        <w:numPr>
          <w:ilvl w:val="0"/>
          <w:numId w:val="1"/>
        </w:numPr>
      </w:pPr>
      <w:r>
        <w:rPr>
          <w:b/>
          <w:bCs/>
        </w:rPr>
        <w:t>Prodotto vs servizio</w:t>
      </w:r>
      <w:r>
        <w:t xml:space="preserve"> (UNI EN ISO 9000): il </w:t>
      </w:r>
      <w:r>
        <w:rPr>
          <w:highlight w:val="cyan"/>
        </w:rPr>
        <w:t>prodotto</w:t>
      </w:r>
      <w:r>
        <w:t xml:space="preserve"> è un output realizzabile senza interazione diretta col cliente, </w:t>
      </w:r>
      <w:r>
        <w:rPr>
          <w:highlight w:val="cyan"/>
        </w:rPr>
        <w:t>generalmente tangibile</w:t>
      </w:r>
      <w:r>
        <w:t xml:space="preserve"> (auto, software, componenti); il </w:t>
      </w:r>
      <w:r>
        <w:rPr>
          <w:highlight w:val="cyan"/>
        </w:rPr>
        <w:t>servizio</w:t>
      </w:r>
      <w:r>
        <w:t xml:space="preserve"> richiede almeno un’attività all’interfaccia con il cliente, </w:t>
      </w:r>
      <w:r>
        <w:rPr>
          <w:highlight w:val="cyan"/>
        </w:rPr>
        <w:t>generalmente intangibile</w:t>
      </w:r>
      <w:r>
        <w:t xml:space="preserve"> (consulenza, assistenza, sanità).</w:t>
      </w:r>
      <w:bookmarkEnd w:id="1"/>
    </w:p>
    <w:p w14:paraId="45E991C0" w14:textId="77777777" w:rsidR="00A45D9E" w:rsidRPr="0069380F" w:rsidRDefault="00000000">
      <w:pPr>
        <w:pStyle w:val="Titolo2"/>
      </w:pPr>
      <w:bookmarkStart w:id="2" w:name="levoluzione-storica-della-qualità"/>
      <w:r>
        <w:t>1.2 L’evoluzione storica della qualità</w:t>
      </w:r>
    </w:p>
    <w:p w14:paraId="2C8943D3" w14:textId="77777777" w:rsidR="00A45D9E" w:rsidRPr="00CB2BC3" w:rsidRDefault="00000000">
      <w:pPr>
        <w:pStyle w:val="FirstParagraph"/>
      </w:pPr>
      <w:r>
        <w:t>Ogni modello nasce per superare i limiti del precedente: si passa dal controllo del prodotto al controllo del processo fino alla gestione dell’intera organizzazione.</w:t>
      </w:r>
    </w:p>
    <w:p w14:paraId="28FBBDA9" w14:textId="77777777" w:rsidR="00A45D9E" w:rsidRPr="00CB2BC3" w:rsidRDefault="00000000">
      <w:pPr>
        <w:pStyle w:val="Corpotesto"/>
      </w:pPr>
      <w:r>
        <w:t xml:space="preserve">1) </w:t>
      </w:r>
      <w:r>
        <w:rPr>
          <w:b/>
          <w:bCs/>
        </w:rPr>
        <w:t>Modello artigianale</w:t>
      </w:r>
      <w:r>
        <w:t xml:space="preserve">. </w:t>
      </w:r>
      <w:r>
        <w:rPr>
          <w:highlight w:val="cyan"/>
        </w:rPr>
        <w:t>La qualità dipende dalle competenze e dall’esperienza dell’artigiano</w:t>
      </w:r>
      <w:r>
        <w:t xml:space="preserve">, che segue tutte le fasi (dalla realizzazione al collaudo finale) e si interfaccia direttamente col cliente. Sistema basato su autocontrollo. </w:t>
      </w:r>
      <w:r>
        <w:rPr>
          <w:i/>
          <w:iCs/>
        </w:rPr>
        <w:t>Vantaggi:</w:t>
      </w:r>
      <w:r>
        <w:t xml:space="preserve"> flessibilità, manodopera qualificata, rapporto diretto col cliente. </w:t>
      </w:r>
      <w:r>
        <w:rPr>
          <w:i/>
          <w:iCs/>
        </w:rPr>
        <w:t>Limiti:</w:t>
      </w:r>
      <w:r>
        <w:t xml:space="preserve"> dipendenza dall’imprenditore, nessuna standardizzazione né pianificazione, conoscenze concentrate in poche persone, molti scarti.</w:t>
      </w:r>
    </w:p>
    <w:p w14:paraId="5CA7C539" w14:textId="77777777" w:rsidR="00A45D9E" w:rsidRPr="00CB2BC3" w:rsidRDefault="00000000">
      <w:pPr>
        <w:pStyle w:val="Corpotesto"/>
      </w:pPr>
      <w:r>
        <w:t xml:space="preserve">2) </w:t>
      </w:r>
      <w:r>
        <w:rPr>
          <w:b/>
          <w:bCs/>
        </w:rPr>
        <w:t>Produzione di massa</w:t>
      </w:r>
      <w:r>
        <w:t xml:space="preserve"> (Smith, Taylor, Ford). </w:t>
      </w:r>
      <w:r>
        <w:rPr>
          <w:highlight w:val="cyan"/>
        </w:rPr>
        <w:t>Nasce con l’aumento della domanda e la perdita di centralità della personalizzazione.</w:t>
      </w:r>
      <w:r>
        <w:t xml:space="preserve"> </w:t>
      </w:r>
      <w:r>
        <w:rPr>
          <w:highlight w:val="cyan"/>
        </w:rPr>
        <w:t xml:space="preserve">Il processo è diviso in operazioni semplici e ripetitive secondo </w:t>
      </w:r>
      <w:proofErr w:type="gramStart"/>
      <w:r>
        <w:rPr>
          <w:highlight w:val="cyan"/>
        </w:rPr>
        <w:t>il One</w:t>
      </w:r>
      <w:proofErr w:type="gramEnd"/>
      <w:r>
        <w:rPr>
          <w:highlight w:val="cyan"/>
        </w:rPr>
        <w:t xml:space="preserve"> Best Way</w:t>
      </w:r>
      <w:r>
        <w:t xml:space="preserve"> (un metodo ottimale definito dall’organizzazione). Si separa chi progetta il metodo da chi lo esegue: l’operaio perde la visione d’insieme. Qui la qualità = conformità a specifiche tecniche misurabili. </w:t>
      </w:r>
      <w:r>
        <w:rPr>
          <w:i/>
          <w:iCs/>
        </w:rPr>
        <w:t>Vantaggi:</w:t>
      </w:r>
      <w:r>
        <w:t xml:space="preserve"> produttività ed economie di scala. </w:t>
      </w:r>
      <w:r>
        <w:rPr>
          <w:i/>
          <w:iCs/>
        </w:rPr>
        <w:t>Limiti:</w:t>
      </w:r>
      <w:r>
        <w:t xml:space="preserve"> monotonia, deresponsabilizzazione, eccessiva specializzazione.</w:t>
      </w:r>
    </w:p>
    <w:p w14:paraId="2B460AD4" w14:textId="77777777" w:rsidR="00A45D9E" w:rsidRPr="00CB2BC3" w:rsidRDefault="00000000">
      <w:pPr>
        <w:pStyle w:val="Corpotesto"/>
      </w:pPr>
      <w:r>
        <w:t xml:space="preserve">3) </w:t>
      </w:r>
      <w:r>
        <w:rPr>
          <w:b/>
          <w:bCs/>
        </w:rPr>
        <w:t>Controllo Qualità</w:t>
      </w:r>
      <w:r>
        <w:t xml:space="preserve"> (CQ) / ispezione. </w:t>
      </w:r>
      <w:r>
        <w:rPr>
          <w:highlight w:val="cyan"/>
        </w:rPr>
        <w:t>Attività di rilevazione e misura delle caratteristiche di un prodotto a fronte di valori prefissati</w:t>
      </w:r>
      <w:r>
        <w:t xml:space="preserve">. Caratteristiche: separazione del materiale </w:t>
      </w:r>
      <w:r>
        <w:lastRenderedPageBreak/>
        <w:t xml:space="preserve">conforme da quello non conforme; chi controlla non è coinvolto nella produzione. Con i grandi volumi si introducono controlli a campione e strumenti statistici (SPC). </w:t>
      </w:r>
      <w:r>
        <w:rPr>
          <w:i/>
          <w:iCs/>
        </w:rPr>
        <w:t>Limite principale:</w:t>
      </w:r>
      <w:r>
        <w:t xml:space="preserve"> individua il difetto dopo che si è prodotto, non lo previene all’origine.</w:t>
      </w:r>
    </w:p>
    <w:p w14:paraId="391A28CE" w14:textId="77777777" w:rsidR="00A45D9E" w:rsidRPr="00CB2BC3" w:rsidRDefault="00000000">
      <w:pPr>
        <w:pStyle w:val="Corpotesto"/>
      </w:pPr>
      <w:r>
        <w:t xml:space="preserve">4) </w:t>
      </w:r>
      <w:r>
        <w:rPr>
          <w:b/>
          <w:bCs/>
        </w:rPr>
        <w:t>Assicurazione della Qualità</w:t>
      </w:r>
      <w:r>
        <w:t xml:space="preserve"> (QA, Quality Assurance). </w:t>
      </w:r>
      <w:r>
        <w:rPr>
          <w:highlight w:val="cyan"/>
        </w:rPr>
        <w:t>Insieme di attività pianificate e sistematiche perché il prodotto soddisfi i requisiti</w:t>
      </w:r>
      <w:r>
        <w:t xml:space="preserve">. Approccio preventivo: definisce regole, procedure e responsabilità per togliere la soggettività della singola persona. </w:t>
      </w:r>
      <w:r>
        <w:rPr>
          <w:highlight w:val="cyan"/>
        </w:rPr>
        <w:t>Controlla processo produttivo</w:t>
      </w:r>
      <w:r>
        <w:t xml:space="preserve">, organizzazione, fornitori, materiali, addestramento del personale, documentazione. </w:t>
      </w:r>
      <w:r>
        <w:rPr>
          <w:i/>
          <w:iCs/>
        </w:rPr>
        <w:t>Limiti:</w:t>
      </w:r>
      <w:r>
        <w:t xml:space="preserve"> </w:t>
      </w:r>
      <w:r>
        <w:rPr>
          <w:highlight w:val="cyan"/>
        </w:rPr>
        <w:t>riguarda solo ciò che influenza direttamente il prodotto</w:t>
      </w:r>
      <w:r>
        <w:t>, esclude gli aspetti economici, finanziari, commerciali e amministrativi. Introduce i processi speciali (es. saldature, trattamenti termici, sterilizzazione): processi il cui esito non è verificabile sul prodotto finito e che vanno quindi pianificati, standardizzati e monitorati a monte.</w:t>
      </w:r>
    </w:p>
    <w:p w14:paraId="3B9C2CBF" w14:textId="77777777" w:rsidR="00A45D9E" w:rsidRPr="00CB2BC3" w:rsidRDefault="00000000">
      <w:pPr>
        <w:pStyle w:val="Corpotesto"/>
      </w:pPr>
      <w:r>
        <w:t xml:space="preserve">5) Modello giapponese / </w:t>
      </w:r>
      <w:r>
        <w:rPr>
          <w:b/>
          <w:bCs/>
        </w:rPr>
        <w:t>CWQC</w:t>
      </w:r>
      <w:r>
        <w:t xml:space="preserve"> (Company Wide Quality Control). Sposta l’attenzione dalla qualità del prodotto alla qualità dell’organizzazione. </w:t>
      </w:r>
      <w:r>
        <w:rPr>
          <w:highlight w:val="cyan"/>
        </w:rPr>
        <w:t>Estende il controllo a tutta l’azienda</w:t>
      </w:r>
      <w:r>
        <w:t xml:space="preserve"> (direzione, reparti, lavoratori), </w:t>
      </w:r>
      <w:r>
        <w:rPr>
          <w:highlight w:val="cyan"/>
        </w:rPr>
        <w:t>con il cliente al centro</w:t>
      </w:r>
      <w:r>
        <w:t xml:space="preserve">. Centrale il fattore umano (lavoro di squadra, formazione) e l’uso della statistica. </w:t>
      </w:r>
      <w:r>
        <w:rPr>
          <w:highlight w:val="cyan"/>
        </w:rPr>
        <w:t>Importante il miglioramento continuo</w:t>
      </w:r>
      <w:r>
        <w:t>\.</w:t>
      </w:r>
    </w:p>
    <w:p w14:paraId="716D60EB" w14:textId="77777777" w:rsidR="00A45D9E" w:rsidRPr="00CB2BC3" w:rsidRDefault="00000000">
      <w:pPr>
        <w:pStyle w:val="Corpotesto"/>
      </w:pPr>
      <w:r>
        <w:t xml:space="preserve">6) </w:t>
      </w:r>
      <w:r>
        <w:rPr>
          <w:b/>
          <w:bCs/>
        </w:rPr>
        <w:t>TQM</w:t>
      </w:r>
      <w:r>
        <w:t xml:space="preserve"> (Total Quality Management). Evoluzione occidentale del CWQC. </w:t>
      </w:r>
      <w:r>
        <w:rPr>
          <w:highlight w:val="cyan"/>
        </w:rPr>
        <w:t>La qualità coinvolge l’intera azienda e diventa una filosofia gestionale orientata al miglioramento continuo</w:t>
      </w:r>
      <w:r>
        <w:t>, alla soddisfazione del cliente e al beneficio per tutti.</w:t>
      </w:r>
    </w:p>
    <w:p w14:paraId="0C2C06CB" w14:textId="77777777" w:rsidR="00A45D9E" w:rsidRPr="00CB2BC3" w:rsidRDefault="00000000">
      <w:pPr>
        <w:pStyle w:val="Testodelblocco"/>
      </w:pPr>
      <w:r>
        <w:t>CWQC vs TQM: il CWQC coinvolge soprattutto gli elementi interni (lavoratori, reparti, direzione) con forte enfasi sul coinvolgimento umano; il TQM allarga il concetto agli stakeholder esterni (clienti, fornitori, partner) e introduce una gestione più sistematica e manageriale, integrata con tutta la gestione aziendale.</w:t>
      </w:r>
      <w:bookmarkEnd w:id="2"/>
    </w:p>
    <w:p w14:paraId="100D511F" w14:textId="77777777" w:rsidR="00A45D9E" w:rsidRPr="00B17691" w:rsidRDefault="00000000">
      <w:pPr>
        <w:pStyle w:val="Titolo2"/>
      </w:pPr>
      <w:bookmarkStart w:id="3" w:name="gli-strumenti-concettuali-del-tqm"/>
      <w:r>
        <w:t>1.3 Gli strumenti concettuali del TQM</w:t>
      </w:r>
    </w:p>
    <w:p w14:paraId="69EDCEA7" w14:textId="77777777" w:rsidR="00A45D9E" w:rsidRPr="00CB2BC3" w:rsidRDefault="00000000">
      <w:pPr>
        <w:pStyle w:val="FirstParagraph"/>
      </w:pPr>
      <w:r>
        <w:rPr>
          <w:b/>
          <w:bCs/>
        </w:rPr>
        <w:t>Gli 8 principi di gestione per la qualità</w:t>
      </w:r>
      <w:r>
        <w:t xml:space="preserve"> (richiamati anche dalla ISO 9001): 1. </w:t>
      </w:r>
      <w:r>
        <w:rPr>
          <w:highlight w:val="cyan"/>
        </w:rPr>
        <w:t>Focus sul cliente</w:t>
      </w:r>
      <w:r>
        <w:t xml:space="preserve"> 2. </w:t>
      </w:r>
      <w:r>
        <w:rPr>
          <w:highlight w:val="cyan"/>
        </w:rPr>
        <w:t>Leadership</w:t>
      </w:r>
      <w:r>
        <w:t xml:space="preserve"> 3. </w:t>
      </w:r>
      <w:r>
        <w:rPr>
          <w:highlight w:val="cyan"/>
        </w:rPr>
        <w:t>Coinvolgimento del personale</w:t>
      </w:r>
      <w:r>
        <w:t xml:space="preserve"> 4. </w:t>
      </w:r>
      <w:r>
        <w:rPr>
          <w:highlight w:val="cyan"/>
        </w:rPr>
        <w:t>Approccio basato sui processi</w:t>
      </w:r>
      <w:r>
        <w:t xml:space="preserve"> 5. </w:t>
      </w:r>
      <w:r>
        <w:rPr>
          <w:highlight w:val="cyan"/>
        </w:rPr>
        <w:t>Approccio sistemico alla gestione</w:t>
      </w:r>
      <w:r>
        <w:t xml:space="preserve"> 6. </w:t>
      </w:r>
      <w:r>
        <w:rPr>
          <w:highlight w:val="cyan"/>
        </w:rPr>
        <w:t>Miglioramento continuo</w:t>
      </w:r>
      <w:r>
        <w:t xml:space="preserve"> 7. </w:t>
      </w:r>
      <w:r>
        <w:rPr>
          <w:highlight w:val="cyan"/>
        </w:rPr>
        <w:t>Decisioni basate sui dati</w:t>
      </w:r>
      <w:r>
        <w:t xml:space="preserve"> 8. </w:t>
      </w:r>
      <w:r>
        <w:rPr>
          <w:highlight w:val="cyan"/>
        </w:rPr>
        <w:t>Rapporti di reciproco beneficio con i fornitori</w:t>
      </w:r>
    </w:p>
    <w:p w14:paraId="631DC5F1" w14:textId="77777777" w:rsidR="00A45D9E" w:rsidRPr="00CB2BC3" w:rsidRDefault="00000000">
      <w:pPr>
        <w:pStyle w:val="Corpotesto"/>
      </w:pPr>
      <w:r>
        <w:rPr>
          <w:b/>
          <w:bCs/>
        </w:rPr>
        <w:t>Ciclo PDCA</w:t>
      </w:r>
      <w:r>
        <w:t xml:space="preserve"> — metodologia di miglioramento continuo: </w:t>
      </w:r>
      <w:r>
        <w:rPr>
          <w:highlight w:val="cyan"/>
        </w:rPr>
        <w:t>Plan</w:t>
      </w:r>
      <w:r>
        <w:t xml:space="preserve"> (definire obiettivi, attività, risorse) → </w:t>
      </w:r>
      <w:r>
        <w:rPr>
          <w:highlight w:val="cyan"/>
        </w:rPr>
        <w:t>Do</w:t>
      </w:r>
      <w:r>
        <w:t xml:space="preserve"> (eseguire) → </w:t>
      </w:r>
      <w:r>
        <w:rPr>
          <w:highlight w:val="cyan"/>
        </w:rPr>
        <w:t>Check</w:t>
      </w:r>
      <w:r>
        <w:t xml:space="preserve"> (controllare i risultati) → </w:t>
      </w:r>
      <w:r>
        <w:rPr>
          <w:highlight w:val="cyan"/>
        </w:rPr>
        <w:t>Act</w:t>
      </w:r>
      <w:r>
        <w:t xml:space="preserve"> (correggere/migliorare). </w:t>
      </w:r>
    </w:p>
    <w:p w14:paraId="083F9043" w14:textId="77777777" w:rsidR="00A45D9E" w:rsidRPr="00CB2BC3" w:rsidRDefault="00000000">
      <w:pPr>
        <w:pStyle w:val="Corpotesto"/>
      </w:pPr>
      <w:r>
        <w:rPr>
          <w:b/>
          <w:bCs/>
        </w:rPr>
        <w:t>Variabilità di un processo</w:t>
      </w:r>
      <w:r>
        <w:t xml:space="preserve"> — </w:t>
      </w:r>
      <w:r>
        <w:rPr>
          <w:highlight w:val="cyan"/>
        </w:rPr>
        <w:t>possibilità che un output non sia identico al precedente</w:t>
      </w:r>
      <w:r>
        <w:t xml:space="preserve">. Due tipi: comune/normale (piccole variazioni fisiologiche, difficili da eliminare) e speciale/anomala (problemi specifici: guasti, errori umani). </w:t>
      </w:r>
      <w:bookmarkEnd w:id="3"/>
    </w:p>
    <w:p w14:paraId="098E086D" w14:textId="77777777" w:rsidR="00A45D9E" w:rsidRPr="00ED5072" w:rsidRDefault="00000000">
      <w:pPr>
        <w:pStyle w:val="Titolo2"/>
      </w:pPr>
      <w:bookmarkStart w:id="4" w:name="dalle-norme-iso-9000-alla-hls"/>
      <w:r>
        <w:t>1.4 Dalle norme ISO 9000 alla HLS</w:t>
      </w:r>
    </w:p>
    <w:p w14:paraId="28E5E5E9" w14:textId="77777777" w:rsidR="00A45D9E" w:rsidRPr="00CB2BC3" w:rsidRDefault="00000000">
      <w:pPr>
        <w:pStyle w:val="FirstParagraph"/>
      </w:pPr>
      <w:r>
        <w:rPr>
          <w:b/>
          <w:bCs/>
        </w:rPr>
        <w:t>Le ISO 9000</w:t>
      </w:r>
      <w:r>
        <w:t xml:space="preserve"> sono l’evoluzione della QA: gestione della qualità strutturata, standardizzata e orientata ai processi. Idea innovativa: </w:t>
      </w:r>
      <w:r>
        <w:rPr>
          <w:highlight w:val="cyan"/>
        </w:rPr>
        <w:t>la qualità non è garantita dai soli controlli finali ma da chi svolge il lavoro durante il processo; la direzione ha ruolo centrale e si introduce il RGQ</w:t>
      </w:r>
      <w:r>
        <w:t xml:space="preserve"> (Responsabile Gestione Qualità).</w:t>
      </w:r>
    </w:p>
    <w:p w14:paraId="16B1EAD9" w14:textId="77777777" w:rsidR="00A45D9E" w:rsidRPr="00CB2BC3" w:rsidRDefault="00000000">
      <w:pPr>
        <w:pStyle w:val="Corpotesto"/>
      </w:pPr>
      <w:r>
        <w:rPr>
          <w:b/>
          <w:bCs/>
        </w:rPr>
        <w:lastRenderedPageBreak/>
        <w:t>La famiglia ISO 9000</w:t>
      </w:r>
      <w:r>
        <w:t xml:space="preserve">: - ISO 9000 — fondamenti e vocabolario (concetti e principi). - </w:t>
      </w:r>
      <w:r>
        <w:rPr>
          <w:highlight w:val="cyan"/>
        </w:rPr>
        <w:t>ISO 9001</w:t>
      </w:r>
      <w:r>
        <w:t xml:space="preserve"> — requisiti del SGQ; </w:t>
      </w:r>
      <w:r>
        <w:rPr>
          <w:highlight w:val="cyan"/>
        </w:rPr>
        <w:t>è la norma certificativa; guarda alla conformità e alla soddisfazione del cliente</w:t>
      </w:r>
      <w:r>
        <w:t xml:space="preserve">. - </w:t>
      </w:r>
      <w:r>
        <w:rPr>
          <w:highlight w:val="cyan"/>
        </w:rPr>
        <w:t>ISO 9004</w:t>
      </w:r>
      <w:r>
        <w:t xml:space="preserve"> — </w:t>
      </w:r>
      <w:r>
        <w:rPr>
          <w:highlight w:val="cyan"/>
        </w:rPr>
        <w:t>linee guida per il successo durevole</w:t>
      </w:r>
      <w:r>
        <w:t>; visione più ampia, orientata a tutte le parti interessate e al miglioramento globale. - ISO 19011 — linee guida per gli audit dei sistemi di gestione.</w:t>
      </w:r>
    </w:p>
    <w:p w14:paraId="428B3A15" w14:textId="77777777" w:rsidR="00A45D9E" w:rsidRPr="00CB2BC3" w:rsidRDefault="00000000">
      <w:pPr>
        <w:pStyle w:val="Testodelblocco"/>
      </w:pPr>
      <w:r>
        <w:t>Attenzione (errore tipico): non dire che la 9001 è rivolta “all’interno” e la 9004 “all’esterno”. È corretto dire che la 9001 guarda alla conformità e alla soddisfazione del cliente, mentre la 9004 guarda al miglioramento globale e al successo durevole.</w:t>
      </w:r>
    </w:p>
    <w:p w14:paraId="72401AC2" w14:textId="77777777" w:rsidR="00A45D9E" w:rsidRPr="00CB2BC3" w:rsidRDefault="00000000">
      <w:pPr>
        <w:pStyle w:val="FirstParagraph"/>
      </w:pPr>
      <w:r>
        <w:rPr>
          <w:b/>
          <w:bCs/>
        </w:rPr>
        <w:t>HLS</w:t>
      </w:r>
      <w:r>
        <w:t xml:space="preserve"> (High Level </w:t>
      </w:r>
      <w:proofErr w:type="spellStart"/>
      <w:r>
        <w:t>Structure</w:t>
      </w:r>
      <w:proofErr w:type="spellEnd"/>
      <w:r>
        <w:t xml:space="preserve">) — </w:t>
      </w:r>
      <w:r>
        <w:rPr>
          <w:highlight w:val="cyan"/>
        </w:rPr>
        <w:t>struttura comune obbligatoria</w:t>
      </w:r>
      <w:r>
        <w:t xml:space="preserve"> (dal 2012) </w:t>
      </w:r>
      <w:r>
        <w:rPr>
          <w:highlight w:val="cyan"/>
        </w:rPr>
        <w:t>per le nuove norme ISO sui sistemi di gestione</w:t>
      </w:r>
      <w:r>
        <w:t xml:space="preserve"> (gli MSS, Management System Standards). Stessa struttura, terminologia e impianto dei requisiti → </w:t>
      </w:r>
      <w:r>
        <w:rPr>
          <w:highlight w:val="cyan"/>
        </w:rPr>
        <w:t>permette di integrare sistemi diversi</w:t>
      </w:r>
      <w:r>
        <w:t xml:space="preserve"> (qualità, ambiente, sicurezza) </w:t>
      </w:r>
      <w:r>
        <w:rPr>
          <w:highlight w:val="cyan"/>
        </w:rPr>
        <w:t>in un unico sistema</w:t>
      </w:r>
      <w:r>
        <w:t xml:space="preserve">, riducendo complessità e costi. </w:t>
      </w:r>
      <w:bookmarkEnd w:id="4"/>
    </w:p>
    <w:p w14:paraId="204F6A3B" w14:textId="77777777" w:rsidR="00A45D9E" w:rsidRPr="00ED5072" w:rsidRDefault="00000000">
      <w:pPr>
        <w:pStyle w:val="Titolo2"/>
      </w:pPr>
      <w:r>
        <w:t>1.5 Modelli di eccellenza: EFQM</w:t>
      </w:r>
    </w:p>
    <w:p w14:paraId="21AB26B0" w14:textId="77777777" w:rsidR="00A45D9E" w:rsidRPr="00CB2BC3" w:rsidRDefault="00000000">
      <w:pPr>
        <w:pStyle w:val="FirstParagraph"/>
      </w:pPr>
      <w:r>
        <w:rPr>
          <w:highlight w:val="cyan"/>
        </w:rPr>
        <w:t>Il modello EFQM</w:t>
      </w:r>
      <w:r>
        <w:t xml:space="preserve"> (</w:t>
      </w:r>
      <w:proofErr w:type="spellStart"/>
      <w:r>
        <w:t>European</w:t>
      </w:r>
      <w:proofErr w:type="spellEnd"/>
      <w:r>
        <w:t xml:space="preserve"> Foundation for Quality Management) </w:t>
      </w:r>
      <w:r>
        <w:rPr>
          <w:highlight w:val="cyan"/>
        </w:rPr>
        <w:t>è un modello di eccellenza organizzativa</w:t>
      </w:r>
      <w:r>
        <w:t xml:space="preserve">. Ragiona su “come si potrebbe fare meglio”, prendendo a riferimento le organizzazioni più performanti (benchmarking) e misurando la distanza dall’eccellenza. </w:t>
      </w:r>
    </w:p>
    <w:bookmarkStart w:id="5" w:name="modulo-1-modelli-e-organizzazioni"/>
    <w:bookmarkStart w:id="6" w:name="modelli-di-eccellenza-efqm"/>
    <w:p w14:paraId="3DF7EBD4" w14:textId="77777777" w:rsidR="00A45D9E" w:rsidRPr="00CB2BC3" w:rsidRDefault="00000000">
      <w:r>
        <w:pict w14:anchorId="7DE72544">
          <v:rect id="_x0000_s1064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  <w:bookmarkEnd w:id="5"/>
      <w:bookmarkEnd w:id="6"/>
    </w:p>
    <w:p w14:paraId="6B1EFF33" w14:textId="77777777" w:rsidR="00A45D9E" w:rsidRPr="00ED5072" w:rsidRDefault="00000000">
      <w:pPr>
        <w:pStyle w:val="Titolo1"/>
      </w:pPr>
      <w:r>
        <w:t>Modulo 2 — Gli elementi della certificazione</w:t>
      </w:r>
    </w:p>
    <w:bookmarkStart w:id="7" w:name="conformità-e-valutazione-di-conformità"/>
    <w:p w14:paraId="40ECFEDB" w14:textId="494BF0F1" w:rsidR="00A45D9E" w:rsidRPr="00ED5072" w:rsidRDefault="00000000">
      <w:pPr>
        <w:pStyle w:val="Titolo2"/>
      </w:pPr>
      <w:r>
        <w:pict w14:anchorId="5D094FEC">
          <v:rect id="_x0000_s1063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  <w:r w:rsidR="00373FB0">
        <w:t>2.1 Conformità e valutazione di conformità</w:t>
      </w:r>
    </w:p>
    <w:p w14:paraId="5EF9EC87" w14:textId="77777777" w:rsidR="00A45D9E" w:rsidRPr="00CB2BC3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Conformità</w:t>
      </w:r>
      <w:r>
        <w:t xml:space="preserve"> — </w:t>
      </w:r>
      <w:r>
        <w:rPr>
          <w:highlight w:val="cyan"/>
        </w:rPr>
        <w:t>corrispondenza</w:t>
      </w:r>
      <w:r>
        <w:t xml:space="preserve"> di un prodotto/processo/servizio </w:t>
      </w:r>
      <w:r>
        <w:rPr>
          <w:highlight w:val="cyan"/>
        </w:rPr>
        <w:t>ai requisiti specificati</w:t>
      </w:r>
      <w:r>
        <w:t>.</w:t>
      </w:r>
    </w:p>
    <w:p w14:paraId="34F3D022" w14:textId="77777777" w:rsidR="00A45D9E" w:rsidRPr="00CB2BC3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Valutazione di conformità</w:t>
      </w:r>
      <w:r>
        <w:t xml:space="preserve"> — </w:t>
      </w:r>
      <w:r>
        <w:rPr>
          <w:highlight w:val="cyan"/>
        </w:rPr>
        <w:t>dimostrazione che i requisiti sono soddisfatti</w:t>
      </w:r>
      <w:r>
        <w:t>. Tre tipologie:</w:t>
      </w:r>
    </w:p>
    <w:p w14:paraId="08848112" w14:textId="77777777" w:rsidR="00A45D9E" w:rsidRPr="00CB2BC3" w:rsidRDefault="00000000">
      <w:pPr>
        <w:pStyle w:val="Compact"/>
        <w:numPr>
          <w:ilvl w:val="1"/>
          <w:numId w:val="13"/>
        </w:numPr>
      </w:pPr>
      <w:r>
        <w:rPr>
          <w:b/>
          <w:bCs/>
        </w:rPr>
        <w:t>Prima parte</w:t>
      </w:r>
      <w:r>
        <w:t xml:space="preserve"> — </w:t>
      </w:r>
      <w:r>
        <w:rPr>
          <w:highlight w:val="cyan"/>
        </w:rPr>
        <w:t>la fa l’organizzazione</w:t>
      </w:r>
      <w:r>
        <w:t xml:space="preserve"> stessa che fornisce l’oggetto (autovalutazione), produce dichiarazione di conformità.</w:t>
      </w:r>
    </w:p>
    <w:p w14:paraId="5E584569" w14:textId="77777777" w:rsidR="00A45D9E" w:rsidRPr="00CB2BC3" w:rsidRDefault="00000000">
      <w:pPr>
        <w:pStyle w:val="Compact"/>
        <w:numPr>
          <w:ilvl w:val="1"/>
          <w:numId w:val="14"/>
        </w:numPr>
      </w:pPr>
      <w:r>
        <w:rPr>
          <w:b/>
          <w:bCs/>
        </w:rPr>
        <w:t>Seconda parte</w:t>
      </w:r>
      <w:r>
        <w:t xml:space="preserve"> — </w:t>
      </w:r>
      <w:r>
        <w:rPr>
          <w:highlight w:val="cyan"/>
        </w:rPr>
        <w:t>la fa un soggetto interessato</w:t>
      </w:r>
      <w:r>
        <w:t xml:space="preserve"> all’oggetto (es. cliente che ispeziona un fornitore).</w:t>
      </w:r>
    </w:p>
    <w:p w14:paraId="7B6BBDFC" w14:textId="77777777" w:rsidR="00A45D9E" w:rsidRPr="00CB2BC3" w:rsidRDefault="00000000">
      <w:pPr>
        <w:pStyle w:val="Compact"/>
        <w:numPr>
          <w:ilvl w:val="1"/>
          <w:numId w:val="15"/>
        </w:numPr>
      </w:pPr>
      <w:r>
        <w:rPr>
          <w:b/>
          <w:bCs/>
        </w:rPr>
        <w:t>Terza parte</w:t>
      </w:r>
      <w:r>
        <w:t xml:space="preserve"> — </w:t>
      </w:r>
      <w:r>
        <w:rPr>
          <w:highlight w:val="cyan"/>
        </w:rPr>
        <w:t>la fa un organismo esterno imparziale</w:t>
      </w:r>
      <w:r>
        <w:t>, senza interessi diretti (ente di certificazione, laboratori), produce certificazione di conformità.</w:t>
      </w:r>
      <w:bookmarkEnd w:id="7"/>
    </w:p>
    <w:p w14:paraId="6F645B83" w14:textId="77777777" w:rsidR="00A45D9E" w:rsidRPr="005E7C0D" w:rsidRDefault="00000000">
      <w:pPr>
        <w:pStyle w:val="Titolo2"/>
      </w:pPr>
      <w:bookmarkStart w:id="8" w:name="attestazione-vs-certificazione"/>
      <w:r>
        <w:t>2.2 Attestazione vs certificazione</w:t>
      </w:r>
    </w:p>
    <w:p w14:paraId="7817B13D" w14:textId="77777777" w:rsidR="00A45D9E" w:rsidRPr="00CB2BC3" w:rsidRDefault="00000000">
      <w:pPr>
        <w:pStyle w:val="FirstParagraph"/>
      </w:pPr>
      <w:r>
        <w:rPr>
          <w:highlight w:val="cyan"/>
        </w:rPr>
        <w:t>L’attestazione è il rilascio di una dichiarazione</w:t>
      </w:r>
      <w:r>
        <w:t xml:space="preserve"> formale </w:t>
      </w:r>
      <w:r>
        <w:rPr>
          <w:highlight w:val="cyan"/>
        </w:rPr>
        <w:t>del soddisfacimento dei requisiti</w:t>
      </w:r>
      <w:r>
        <w:t xml:space="preserve">. Due forme: - </w:t>
      </w:r>
      <w:r>
        <w:rPr>
          <w:highlight w:val="cyan"/>
        </w:rPr>
        <w:t>Dichiarazione di conformità</w:t>
      </w:r>
      <w:r>
        <w:t xml:space="preserve"> = attestazione di prima parte (il fabbricante si assume in prima persona la responsabilità). - </w:t>
      </w:r>
      <w:r>
        <w:rPr>
          <w:highlight w:val="cyan"/>
        </w:rPr>
        <w:t>Certificazione di conformità</w:t>
      </w:r>
      <w:r>
        <w:t xml:space="preserve"> = attestazione di terza parte: un organismo indipendente fornisce assicurazione scritta della conformità. </w:t>
      </w:r>
      <w:r>
        <w:lastRenderedPageBreak/>
        <w:t>L’attestazione di terza parte contiene sia la certificazione dell’ente terzo sia la dichiarazione del fabbricante.</w:t>
      </w:r>
      <w:bookmarkEnd w:id="8"/>
    </w:p>
    <w:p w14:paraId="3FF76CB8" w14:textId="77777777" w:rsidR="00A45D9E" w:rsidRPr="005E7C0D" w:rsidRDefault="00000000">
      <w:pPr>
        <w:pStyle w:val="Titolo2"/>
      </w:pPr>
      <w:bookmarkStart w:id="9" w:name="tipi-di-certificazione-di-prodotto"/>
      <w:r>
        <w:t>2.3 Tipi di certificazione di prodotto</w:t>
      </w:r>
    </w:p>
    <w:p w14:paraId="1212968E" w14:textId="77777777" w:rsidR="00A45D9E" w:rsidRPr="00CB2BC3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Cogente</w:t>
      </w:r>
      <w:r>
        <w:t xml:space="preserve"> (obbligatoria) — </w:t>
      </w:r>
      <w:r>
        <w:rPr>
          <w:highlight w:val="cyan"/>
        </w:rPr>
        <w:t>requisiti essenziali</w:t>
      </w:r>
      <w:r>
        <w:t xml:space="preserve"> di salute/sicurezza, stabiliti da legge/regola tecnica, </w:t>
      </w:r>
      <w:r>
        <w:rPr>
          <w:highlight w:val="cyan"/>
        </w:rPr>
        <w:t>rilasciata da un organismo notificato</w:t>
      </w:r>
      <w:r>
        <w:t>.</w:t>
      </w:r>
    </w:p>
    <w:p w14:paraId="6E26728A" w14:textId="77777777" w:rsidR="00A45D9E" w:rsidRPr="00CB2BC3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Volontaria</w:t>
      </w:r>
      <w:r>
        <w:t xml:space="preserve"> — </w:t>
      </w:r>
      <w:r>
        <w:rPr>
          <w:highlight w:val="cyan"/>
        </w:rPr>
        <w:t>requisiti di qualità</w:t>
      </w:r>
      <w:r>
        <w:t xml:space="preserve"> (prestazioni, affidabilità, estetica), stabiliti da norma tecnica, </w:t>
      </w:r>
      <w:r>
        <w:rPr>
          <w:highlight w:val="cyan"/>
        </w:rPr>
        <w:t>rilasciata da un organismo accreditato</w:t>
      </w:r>
      <w:r>
        <w:t>.</w:t>
      </w:r>
    </w:p>
    <w:p w14:paraId="540517BC" w14:textId="77777777" w:rsidR="00A45D9E" w:rsidRPr="00CB2BC3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Regolamentata</w:t>
      </w:r>
      <w:r>
        <w:t xml:space="preserve"> — </w:t>
      </w:r>
      <w:r>
        <w:rPr>
          <w:highlight w:val="cyan"/>
        </w:rPr>
        <w:t>requisiti stabiliti da disciplinari emessi da consorzi di produttori</w:t>
      </w:r>
      <w:r>
        <w:t xml:space="preserve"> (es. DOP, IGP per i prodotti; DOC, DOCG per i vini).</w:t>
      </w:r>
      <w:bookmarkEnd w:id="9"/>
    </w:p>
    <w:p w14:paraId="626C6E06" w14:textId="77777777" w:rsidR="00A45D9E" w:rsidRPr="005E7C0D" w:rsidRDefault="00000000">
      <w:pPr>
        <w:pStyle w:val="Titolo2"/>
      </w:pPr>
      <w:bookmarkStart w:id="10" w:name="certificazione-di-sistema-sgq"/>
      <w:r>
        <w:t>2.4 Certificazione di sistema (SGQ)</w:t>
      </w:r>
    </w:p>
    <w:p w14:paraId="74C5B724" w14:textId="77777777" w:rsidR="00A45D9E" w:rsidRPr="00CB2BC3" w:rsidRDefault="00000000">
      <w:pPr>
        <w:pStyle w:val="FirstParagraph"/>
      </w:pPr>
      <w:r>
        <w:rPr>
          <w:highlight w:val="cyan"/>
        </w:rPr>
        <w:t>Verifica il Sistema di Gestione per la Qualità</w:t>
      </w:r>
      <w:r>
        <w:t xml:space="preserve"> e dimostra all’esterno che l’azienda sa realizzare prodotti/servizi conformi e mantenere la qualità nel tempo.</w:t>
      </w:r>
    </w:p>
    <w:p w14:paraId="600FCD8C" w14:textId="77777777" w:rsidR="00A45D9E" w:rsidRPr="00CB2BC3" w:rsidRDefault="00000000">
      <w:pPr>
        <w:pStyle w:val="Testodelblocco"/>
      </w:pPr>
      <w:r>
        <w:t>Distinguere avere un SGQ (lavorare secondo regole interne) dal certificarlo (un organismo esterno accreditato lo verifica e attesta).</w:t>
      </w:r>
    </w:p>
    <w:p w14:paraId="594D5C3C" w14:textId="77777777" w:rsidR="001603B4" w:rsidRPr="00CB2BC3" w:rsidRDefault="001603B4">
      <w:pPr>
        <w:pStyle w:val="Titolo2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bookmarkStart w:id="11" w:name="X10057285947d4387ec65d05db7a9e0d7311cb81"/>
      <w:bookmarkEnd w:id="10"/>
      <w: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Iter di certificazione: l'azienda mappa processi, risorse e responsabilità, costruisce la documentazione, poi stipula un contratto triennale con un organismo accreditato. </w:t>
      </w:r>
      <w: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highlight w:val="cyan"/>
        </w:rPr>
        <w:t>L'organismo svolge un'analisi documentale, poi un audit sul campo</w:t>
      </w:r>
      <w: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; l'auditor redige un rapporto ma la decisione finale spetta all'organismo. </w:t>
      </w:r>
      <w: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highlight w:val="cyan"/>
        </w:rPr>
        <w:t>Sorveglianza annuale per mantenere la certificazione</w:t>
      </w:r>
      <w: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.</w:t>
      </w:r>
    </w:p>
    <w:p w14:paraId="07D8449D" w14:textId="77777777" w:rsidR="00A45D9E" w:rsidRPr="005E7C0D" w:rsidRDefault="00000000">
      <w:pPr>
        <w:pStyle w:val="Titolo2"/>
      </w:pPr>
      <w:r>
        <w:t>2.5 Norme tecniche, organismi di normazione, norme armonizzate</w:t>
      </w:r>
    </w:p>
    <w:p w14:paraId="0ECCF435" w14:textId="77777777" w:rsidR="00A45D9E" w:rsidRPr="00CB2BC3" w:rsidRDefault="00000000">
      <w:pPr>
        <w:pStyle w:val="FirstParagraph"/>
      </w:pPr>
      <w:r>
        <w:rPr>
          <w:b/>
          <w:bCs/>
        </w:rPr>
        <w:t>Norma tecnica</w:t>
      </w:r>
      <w:r>
        <w:t xml:space="preserve"> — </w:t>
      </w:r>
      <w:r>
        <w:rPr>
          <w:highlight w:val="cyan"/>
        </w:rPr>
        <w:t>documento elaborato per consenso tra le parti e approvato da un organismo riconosciuto</w:t>
      </w:r>
      <w:r>
        <w:t xml:space="preserve"> (UNI, ISO, CEN);</w:t>
      </w:r>
      <w:r>
        <w:rPr>
          <w:highlight w:val="cyan"/>
        </w:rPr>
        <w:t xml:space="preserve"> definisce regole e caratteristiche tecniche</w:t>
      </w:r>
      <w:r>
        <w:t xml:space="preserve"> secondo lo stato dell’arte. Diversa è la regola tecnica, che è obbligatoria perché imposta dalla legge.</w:t>
      </w:r>
    </w:p>
    <w:p w14:paraId="67C15F6E" w14:textId="77777777" w:rsidR="00A45D9E" w:rsidRPr="00CB2BC3" w:rsidRDefault="00000000">
      <w:pPr>
        <w:pStyle w:val="Testodelblocco"/>
      </w:pPr>
      <w:r>
        <w:t>Quando una norma volontaria diventa obbligatoria: se richiamata da una legge, se inserita in un contratto, oppure quando codifica lo stato dell’arte (che però non è scritto e varia nel tempo → in caso di conflitto lo stato dell’arte prevale sulla norma scritta).</w:t>
      </w:r>
    </w:p>
    <w:p w14:paraId="0076F86D" w14:textId="77777777" w:rsidR="00A45D9E" w:rsidRPr="00CB2BC3" w:rsidRDefault="00000000">
      <w:pPr>
        <w:pStyle w:val="FirstParagraph"/>
      </w:pPr>
      <w:r>
        <w:rPr>
          <w:b/>
          <w:bCs/>
        </w:rPr>
        <w:t>Organismi di normazione</w:t>
      </w:r>
      <w:r>
        <w:t xml:space="preserve"> (approvano e recepiscono le norme tecniche), su tre livelli: - </w:t>
      </w:r>
      <w:r>
        <w:rPr>
          <w:highlight w:val="cyan"/>
        </w:rPr>
        <w:t>Mondiale</w:t>
      </w:r>
      <w:r>
        <w:t xml:space="preserve">: ISO (settori vari), IEC (settore elettrico) - </w:t>
      </w:r>
      <w:r>
        <w:rPr>
          <w:highlight w:val="cyan"/>
        </w:rPr>
        <w:t>Europeo</w:t>
      </w:r>
      <w:r>
        <w:t xml:space="preserve">: CEN (settori vari), CENELEC (settore elettrico) - </w:t>
      </w:r>
      <w:r>
        <w:rPr>
          <w:highlight w:val="cyan"/>
        </w:rPr>
        <w:t>Nazionale</w:t>
      </w:r>
      <w:r>
        <w:t xml:space="preserve"> (Italia): UNI (settori vari), CEI (settore elettrico)</w:t>
      </w:r>
    </w:p>
    <w:p w14:paraId="6F250B91" w14:textId="77777777" w:rsidR="00A45D9E" w:rsidRPr="00CB2BC3" w:rsidRDefault="00000000">
      <w:pPr>
        <w:pStyle w:val="Corpotesto"/>
      </w:pPr>
      <w:r>
        <w:rPr>
          <w:b/>
          <w:bCs/>
        </w:rPr>
        <w:t>Norme armonizzate</w:t>
      </w:r>
      <w:r>
        <w:t xml:space="preserve"> — </w:t>
      </w:r>
      <w:r>
        <w:rPr>
          <w:highlight w:val="cyan"/>
        </w:rPr>
        <w:t>norme tecniche europee sviluppate su incarico della Commissione per tradurre i RES</w:t>
      </w:r>
      <w:r>
        <w:t xml:space="preserve"> (Requisiti Essenziali di Sicurezza) delle direttive in specifiche tecniche concrete. Favoriscono la libera circolazione di merci e persone.</w:t>
      </w:r>
    </w:p>
    <w:p w14:paraId="7B39ACB0" w14:textId="77777777" w:rsidR="00A45D9E" w:rsidRPr="00CB2BC3" w:rsidRDefault="00000000">
      <w:pPr>
        <w:pStyle w:val="Compact"/>
        <w:numPr>
          <w:ilvl w:val="0"/>
          <w:numId w:val="19"/>
        </w:numPr>
      </w:pPr>
      <w:r>
        <w:t>Stato dell’arte — livello più avanzato di conoscenze e tecnologie disponibili in un dato momento in un settore.</w:t>
      </w:r>
      <w:bookmarkEnd w:id="11"/>
    </w:p>
    <w:p w14:paraId="6EA2E0C8" w14:textId="77777777" w:rsidR="00A45D9E" w:rsidRPr="005E7C0D" w:rsidRDefault="00000000">
      <w:pPr>
        <w:pStyle w:val="Titolo2"/>
      </w:pPr>
      <w:bookmarkStart w:id="12" w:name="Xf3e0067072584e5896fe65551bebd6b3d8760f2"/>
      <w:r>
        <w:lastRenderedPageBreak/>
        <w:t>2.6 Organismo di certificazione vs accreditamento</w:t>
      </w:r>
    </w:p>
    <w:p w14:paraId="79965ACE" w14:textId="77777777" w:rsidR="00A45D9E" w:rsidRPr="00CB2BC3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Organismo di certificazione</w:t>
      </w:r>
      <w:r>
        <w:t xml:space="preserve"> — </w:t>
      </w:r>
      <w:r>
        <w:rPr>
          <w:highlight w:val="cyan"/>
        </w:rPr>
        <w:t>ente</w:t>
      </w:r>
      <w:r>
        <w:t xml:space="preserve"> indipendente </w:t>
      </w:r>
      <w:r>
        <w:rPr>
          <w:highlight w:val="cyan"/>
        </w:rPr>
        <w:t>che verifica e rilascia la certificazione di conformità</w:t>
      </w:r>
      <w:r>
        <w:t>.</w:t>
      </w:r>
    </w:p>
    <w:p w14:paraId="18267E4F" w14:textId="77777777" w:rsidR="00A45D9E" w:rsidRPr="00CB2BC3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Accreditamento</w:t>
      </w:r>
      <w:r>
        <w:t xml:space="preserve"> — </w:t>
      </w:r>
      <w:r>
        <w:rPr>
          <w:highlight w:val="cyan"/>
        </w:rPr>
        <w:t>processo con cui un ente autorizzato riconosce la competenza e l’imparzialità dell’organismo di certificazione</w:t>
      </w:r>
      <w:r>
        <w:t>. In Italia l’ente unico è Accredia; a livello europeo opera EA (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Accreditation</w:t>
      </w:r>
      <w:proofErr w:type="spellEnd"/>
      <w:r>
        <w:t>) secondo la UNI EN ISO/IEC 17000.</w:t>
      </w:r>
      <w:bookmarkEnd w:id="12"/>
    </w:p>
    <w:p w14:paraId="17C85EB7" w14:textId="77777777" w:rsidR="00A45D9E" w:rsidRPr="005E7C0D" w:rsidRDefault="00000000">
      <w:pPr>
        <w:pStyle w:val="Titolo2"/>
      </w:pPr>
      <w:r>
        <w:t>2.7 I due rami: volontario e cogente</w:t>
      </w:r>
    </w:p>
    <w:p w14:paraId="7CE646ED" w14:textId="77777777" w:rsidR="00A45D9E" w:rsidRPr="00CB2BC3" w:rsidRDefault="00000000">
      <w:pPr>
        <w:pStyle w:val="FirstParagraph"/>
      </w:pPr>
      <w:r>
        <w:t>Schema della certificazione lungo due percorsi:</w:t>
      </w:r>
    </w:p>
    <w:tbl>
      <w:tblPr>
        <w:tblStyle w:val="Table"/>
        <w:tblW w:w="50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A45D9E" w:rsidRPr="00CB2BC3" w14:paraId="340A588E" w14:textId="77777777" w:rsidTr="00A45D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20" w:type="dxa"/>
            <w:tcBorders>
              <w:bottom w:val="single" w:sz="6" w:space="0" w:color="000000"/>
            </w:tcBorders>
          </w:tcPr>
          <w:p w14:paraId="293BF7FF" w14:textId="77777777" w:rsidR="00A45D9E" w:rsidRPr="00CB2BC3" w:rsidRDefault="00A45D9E">
            <w:pPr>
              <w:pStyle w:val="Compact"/>
              <w:rPr>
                <w:rFonts w:ascii="Cambria" w:eastAsia="Cambria" w:hAnsi="Cambria"/>
              </w:rPr>
            </w:pPr>
          </w:p>
        </w:tc>
        <w:tc>
          <w:tcPr>
            <w:tcW w:w="3120" w:type="dxa"/>
            <w:tcBorders>
              <w:bottom w:val="single" w:sz="6" w:space="0" w:color="000000"/>
            </w:tcBorders>
          </w:tcPr>
          <w:p w14:paraId="7CA5BBE3" w14:textId="77777777" w:rsidR="00A45D9E" w:rsidRPr="00CB2BC3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  <w:b/>
                <w:bCs/>
              </w:rPr>
              <w:t>Ramo volontario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</w:tcPr>
          <w:p w14:paraId="7D25F3E3" w14:textId="77777777" w:rsidR="00A45D9E" w:rsidRPr="005E7C0D" w:rsidRDefault="00000000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t>Ramo cogente</w:t>
            </w:r>
          </w:p>
        </w:tc>
      </w:tr>
      <w:tr w:rsidR="00A45D9E" w:rsidRPr="00CB2BC3" w14:paraId="0B6AE5FA" w14:textId="77777777" w:rsidTr="00A45D9E">
        <w:tc>
          <w:tcPr>
            <w:tcW w:w="3120" w:type="dxa"/>
          </w:tcPr>
          <w:p w14:paraId="0BF41AA1" w14:textId="77777777" w:rsidR="00A45D9E" w:rsidRPr="005E7C0D" w:rsidRDefault="00000000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t>Norme</w:t>
            </w:r>
          </w:p>
        </w:tc>
        <w:tc>
          <w:tcPr>
            <w:tcW w:w="3120" w:type="dxa"/>
          </w:tcPr>
          <w:p w14:paraId="2EAE3A34" w14:textId="77777777" w:rsidR="00A45D9E" w:rsidRPr="00CB2BC3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tecniche volontarie</w:t>
            </w:r>
          </w:p>
        </w:tc>
        <w:tc>
          <w:tcPr>
            <w:tcW w:w="3120" w:type="dxa"/>
          </w:tcPr>
          <w:p w14:paraId="6CFB9AB4" w14:textId="77777777" w:rsidR="00A45D9E" w:rsidRPr="00CB2BC3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europee armonizzate + DPR</w:t>
            </w:r>
          </w:p>
        </w:tc>
      </w:tr>
      <w:tr w:rsidR="00A45D9E" w:rsidRPr="00CB2BC3" w14:paraId="0549B51F" w14:textId="77777777" w:rsidTr="00A45D9E">
        <w:tc>
          <w:tcPr>
            <w:tcW w:w="3120" w:type="dxa"/>
          </w:tcPr>
          <w:p w14:paraId="1F056198" w14:textId="77777777" w:rsidR="00A45D9E" w:rsidRPr="005E7C0D" w:rsidRDefault="00000000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t>Catena</w:t>
            </w:r>
          </w:p>
        </w:tc>
        <w:tc>
          <w:tcPr>
            <w:tcW w:w="3120" w:type="dxa"/>
          </w:tcPr>
          <w:p w14:paraId="2C7DB96B" w14:textId="77777777" w:rsidR="00A45D9E" w:rsidRPr="005E7C0D" w:rsidRDefault="00000000">
            <w:pPr>
              <w:pStyle w:val="Compact"/>
              <w:rPr>
                <w:rFonts w:ascii="Cambria" w:eastAsia="Cambria" w:hAnsi="Cambria"/>
                <w:highlight w:val="cyan"/>
              </w:rPr>
            </w:pPr>
            <w:r>
              <w:rPr>
                <w:rFonts w:eastAsia="Cambria"/>
                <w:highlight w:val="cyan"/>
              </w:rPr>
              <w:t>EA → Ente Unico di Accreditamento (Accredia) → organismo accreditato → azienda</w:t>
            </w:r>
          </w:p>
        </w:tc>
        <w:tc>
          <w:tcPr>
            <w:tcW w:w="3120" w:type="dxa"/>
          </w:tcPr>
          <w:p w14:paraId="6E3F165C" w14:textId="77777777" w:rsidR="00A45D9E" w:rsidRPr="00CB2BC3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  <w:highlight w:val="cyan"/>
              </w:rPr>
              <w:t>Ministeri (ente pubblico) → organismo notificato → azienda</w:t>
            </w:r>
          </w:p>
        </w:tc>
      </w:tr>
      <w:tr w:rsidR="00A45D9E" w:rsidRPr="00CB2BC3" w14:paraId="7FB79BEB" w14:textId="77777777" w:rsidTr="00A45D9E">
        <w:tc>
          <w:tcPr>
            <w:tcW w:w="3120" w:type="dxa"/>
          </w:tcPr>
          <w:p w14:paraId="77B616BD" w14:textId="77777777" w:rsidR="00A45D9E" w:rsidRPr="005E7C0D" w:rsidRDefault="00000000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t>Risultato</w:t>
            </w:r>
          </w:p>
        </w:tc>
        <w:tc>
          <w:tcPr>
            <w:tcW w:w="3120" w:type="dxa"/>
          </w:tcPr>
          <w:p w14:paraId="1F933E82" w14:textId="77777777" w:rsidR="00A45D9E" w:rsidRPr="005E7C0D" w:rsidRDefault="00000000">
            <w:pPr>
              <w:pStyle w:val="Compact"/>
              <w:rPr>
                <w:rFonts w:ascii="Cambria" w:eastAsia="Cambria" w:hAnsi="Cambria"/>
                <w:highlight w:val="cyan"/>
              </w:rPr>
            </w:pPr>
            <w:r>
              <w:rPr>
                <w:rFonts w:eastAsia="Cambria"/>
                <w:highlight w:val="cyan"/>
              </w:rPr>
              <w:t>prodotto certificato con marchio volontario</w:t>
            </w:r>
          </w:p>
        </w:tc>
        <w:tc>
          <w:tcPr>
            <w:tcW w:w="3120" w:type="dxa"/>
          </w:tcPr>
          <w:p w14:paraId="6ED1BFCA" w14:textId="77777777" w:rsidR="00A45D9E" w:rsidRPr="00CB2BC3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prodotto certificato con marchio CE + 4 cifre</w:t>
            </w:r>
          </w:p>
        </w:tc>
      </w:tr>
      <w:tr w:rsidR="00A45D9E" w:rsidRPr="00CB2BC3" w14:paraId="4C8A2818" w14:textId="77777777" w:rsidTr="00A45D9E">
        <w:tc>
          <w:tcPr>
            <w:tcW w:w="3120" w:type="dxa"/>
          </w:tcPr>
          <w:p w14:paraId="41E58A2C" w14:textId="77777777" w:rsidR="00A45D9E" w:rsidRPr="005E7C0D" w:rsidRDefault="00000000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t>Norma base azienda</w:t>
            </w:r>
          </w:p>
        </w:tc>
        <w:tc>
          <w:tcPr>
            <w:tcW w:w="3120" w:type="dxa"/>
          </w:tcPr>
          <w:p w14:paraId="1DF280F2" w14:textId="77777777" w:rsidR="00A45D9E" w:rsidRPr="00CB2BC3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UNI EN ISO 9001</w:t>
            </w:r>
          </w:p>
        </w:tc>
        <w:tc>
          <w:tcPr>
            <w:tcW w:w="3120" w:type="dxa"/>
          </w:tcPr>
          <w:p w14:paraId="7B4977E9" w14:textId="77777777" w:rsidR="00A45D9E" w:rsidRPr="00CB2BC3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norme armonizzate</w:t>
            </w:r>
          </w:p>
        </w:tc>
      </w:tr>
    </w:tbl>
    <w:p w14:paraId="6B3103B2" w14:textId="77777777" w:rsidR="00A45D9E" w:rsidRPr="00CB2BC3" w:rsidRDefault="00000000">
      <w:pPr>
        <w:pStyle w:val="Corpotesto"/>
      </w:pPr>
      <w:r>
        <w:rPr>
          <w:b/>
          <w:bCs/>
          <w:i/>
          <w:iCs/>
        </w:rPr>
        <w:t>Problema</w:t>
      </w:r>
      <w:r>
        <w:rPr>
          <w:i/>
          <w:iCs/>
        </w:rPr>
        <w:t>:</w:t>
      </w:r>
      <w:r>
        <w:t xml:space="preserve"> i criteri di accreditamento sono unici in tutta Europa (ISO 17000), ma i criteri di notifica dipendono da Stato a Stato → due organismi notificati in Stati diversi non hanno omogeneità di giudizio. </w:t>
      </w:r>
      <w:r>
        <w:rPr>
          <w:i/>
          <w:iCs/>
        </w:rPr>
        <w:t>Soluzione (schema rifatto):</w:t>
      </w:r>
      <w:r>
        <w:t xml:space="preserve"> </w:t>
      </w:r>
      <w:r>
        <w:rPr>
          <w:highlight w:val="cyan"/>
        </w:rPr>
        <w:t>l’accreditamento diventa obbligatorio per tutti gli organismi; il ruolo dell’ente pubblico (Ministeri) diventa secondario</w:t>
      </w:r>
      <w:r>
        <w:t>.</w:t>
      </w:r>
    </w:p>
    <w:bookmarkStart w:id="13" w:name="Xfe913daee919fad902649648eb39045d6d12d1c"/>
    <w:bookmarkStart w:id="14" w:name="i-due-rami-volontario-e-cogente"/>
    <w:p w14:paraId="5267C1D8" w14:textId="77777777" w:rsidR="00A45D9E" w:rsidRPr="00CB2BC3" w:rsidRDefault="00000000">
      <w:r>
        <w:pict w14:anchorId="2F8A713E">
          <v:rect id="_x0000_s1062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  <w:bookmarkEnd w:id="13"/>
      <w:bookmarkEnd w:id="14"/>
    </w:p>
    <w:p w14:paraId="718450CF" w14:textId="77777777" w:rsidR="00A45D9E" w:rsidRPr="0089291A" w:rsidRDefault="00000000">
      <w:pPr>
        <w:pStyle w:val="Titolo1"/>
      </w:pPr>
      <w:r>
        <w:t>Modulo 3 — Il riconoscimento delle competenze professionali</w:t>
      </w:r>
    </w:p>
    <w:bookmarkStart w:id="15" w:name="diritti-dei-consumatori"/>
    <w:p w14:paraId="0227099E" w14:textId="0C4BDF85" w:rsidR="00A45D9E" w:rsidRPr="0089291A" w:rsidRDefault="00000000">
      <w:pPr>
        <w:pStyle w:val="Titolo2"/>
      </w:pPr>
      <w:r>
        <w:pict w14:anchorId="698E1F19">
          <v:rect id="_x0000_s1061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  <w:r w:rsidR="00373FB0">
        <w:t>3.1 Diritti dei consumatori</w:t>
      </w:r>
    </w:p>
    <w:p w14:paraId="2EA891CB" w14:textId="77777777" w:rsidR="00A45D9E" w:rsidRPr="00CB2BC3" w:rsidRDefault="00000000">
      <w:pPr>
        <w:pStyle w:val="FirstParagraph"/>
      </w:pPr>
      <w:r>
        <w:t xml:space="preserve">I 7 diritti del consumatore: tutela della salute; sicurezza e qualità di prodotti/servizi; informazione corretta e pubblicità non ingannevole; educazione e consapevolezza; correttezza e trasparenza contrattuale; associarsi per difendere i propri interessi; servizi pubblici efficienti. </w:t>
      </w:r>
      <w:bookmarkEnd w:id="15"/>
    </w:p>
    <w:p w14:paraId="13EDF6B6" w14:textId="77777777" w:rsidR="00A45D9E" w:rsidRPr="0089291A" w:rsidRDefault="00000000">
      <w:pPr>
        <w:pStyle w:val="Titolo2"/>
      </w:pPr>
      <w:bookmarkStart w:id="16" w:name="qualità-di-prodotti-vs-servizi"/>
      <w:r>
        <w:t>3.2 Qualità di prodotti vs servizi</w:t>
      </w:r>
    </w:p>
    <w:p w14:paraId="2B1E660E" w14:textId="77777777" w:rsidR="00A45D9E" w:rsidRPr="00CB2BC3" w:rsidRDefault="00000000">
      <w:pPr>
        <w:pStyle w:val="FirstParagraph"/>
      </w:pPr>
      <w:r>
        <w:t xml:space="preserve">Per i prodotti la conformità si dimostra con </w:t>
      </w:r>
      <w:r>
        <w:rPr>
          <w:highlight w:val="cyan"/>
        </w:rPr>
        <w:t>marcatura CE, marchi volontari, dichiarazioni di conformità, rispetto delle norme</w:t>
      </w:r>
      <w:r>
        <w:t xml:space="preserve"> (UNI, CEI, CEN). Per i servizi la qualità dipende soprattutto da competenza, affidabilità e qualificazione del professionista che eroga la prestazione.</w:t>
      </w:r>
      <w:bookmarkEnd w:id="16"/>
    </w:p>
    <w:p w14:paraId="483DFAEE" w14:textId="77777777" w:rsidR="00A45D9E" w:rsidRPr="0089291A" w:rsidRDefault="00000000">
      <w:pPr>
        <w:pStyle w:val="Titolo2"/>
      </w:pPr>
      <w:bookmarkStart w:id="17" w:name="competenze-abilità-conoscenze"/>
      <w:r>
        <w:lastRenderedPageBreak/>
        <w:t>3.3 Competenze, abilità, conoscenze</w:t>
      </w:r>
    </w:p>
    <w:p w14:paraId="0CD0601E" w14:textId="77777777" w:rsidR="00A45D9E" w:rsidRPr="00CB2BC3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Conoscenze</w:t>
      </w:r>
      <w:r>
        <w:t xml:space="preserve"> — </w:t>
      </w:r>
      <w:r>
        <w:rPr>
          <w:highlight w:val="cyan"/>
        </w:rPr>
        <w:t>ciò che si “sa”</w:t>
      </w:r>
      <w:r>
        <w:t>.</w:t>
      </w:r>
    </w:p>
    <w:p w14:paraId="310428B4" w14:textId="77777777" w:rsidR="00A45D9E" w:rsidRPr="00CB2BC3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Abilità</w:t>
      </w:r>
      <w:r>
        <w:t xml:space="preserve"> — </w:t>
      </w:r>
      <w:r>
        <w:rPr>
          <w:highlight w:val="cyan"/>
        </w:rPr>
        <w:t>ciò che si “sa fare”</w:t>
      </w:r>
      <w:r>
        <w:t>.</w:t>
      </w:r>
    </w:p>
    <w:p w14:paraId="079A5803" w14:textId="77777777" w:rsidR="000A1D4A" w:rsidRPr="00CB2BC3" w:rsidRDefault="00000000" w:rsidP="000A1D4A">
      <w:pPr>
        <w:pStyle w:val="Compact"/>
        <w:numPr>
          <w:ilvl w:val="0"/>
          <w:numId w:val="25"/>
        </w:numPr>
      </w:pPr>
      <w:r>
        <w:rPr>
          <w:b/>
          <w:bCs/>
        </w:rPr>
        <w:t>Competenza</w:t>
      </w:r>
      <w:r>
        <w:t xml:space="preserve"> — </w:t>
      </w:r>
      <w:r>
        <w:rPr>
          <w:highlight w:val="cyan"/>
        </w:rPr>
        <w:t>capacità di usare in modo integrato conoscenze e abilità</w:t>
      </w:r>
      <w:r>
        <w:t xml:space="preserve">, con autonomia e responsabilità, in situazioni reali. </w:t>
      </w:r>
    </w:p>
    <w:p w14:paraId="472F1DAB" w14:textId="77777777" w:rsidR="00A45D9E" w:rsidRPr="00CB2BC3" w:rsidRDefault="00000000" w:rsidP="000A1D4A">
      <w:pPr>
        <w:pStyle w:val="Compact"/>
        <w:numPr>
          <w:ilvl w:val="0"/>
          <w:numId w:val="25"/>
        </w:numPr>
      </w:pPr>
      <w:r>
        <w:rPr>
          <w:b/>
          <w:bCs/>
        </w:rPr>
        <w:t>Prestazione</w:t>
      </w:r>
      <w:r>
        <w:t xml:space="preserve"> — </w:t>
      </w:r>
      <w:r>
        <w:rPr>
          <w:highlight w:val="cyan"/>
        </w:rPr>
        <w:t>risultato concreto dell’attività svolta</w:t>
      </w:r>
      <w:r>
        <w:t>.</w:t>
      </w:r>
    </w:p>
    <w:p w14:paraId="7591F3E6" w14:textId="77777777" w:rsidR="00A45D9E" w:rsidRPr="0089291A" w:rsidRDefault="00000000">
      <w:pPr>
        <w:pStyle w:val="Titolo2"/>
      </w:pPr>
      <w:bookmarkStart w:id="18" w:name="eqf-e-tipologie-di-apprendimento"/>
      <w:bookmarkEnd w:id="17"/>
      <w:r>
        <w:t>3.4 EQF e tipologie di apprendimento</w:t>
      </w:r>
    </w:p>
    <w:p w14:paraId="7B46A308" w14:textId="77777777" w:rsidR="00A45D9E" w:rsidRPr="00CB2BC3" w:rsidRDefault="00000000">
      <w:pPr>
        <w:pStyle w:val="FirstParagraph"/>
      </w:pPr>
      <w:r>
        <w:rPr>
          <w:b/>
          <w:bCs/>
        </w:rPr>
        <w:t>EQF</w:t>
      </w:r>
      <w:r>
        <w:t xml:space="preserve"> (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Qualification</w:t>
      </w:r>
      <w:proofErr w:type="spellEnd"/>
      <w:r>
        <w:t xml:space="preserve"> Framework) — </w:t>
      </w:r>
      <w:r>
        <w:rPr>
          <w:highlight w:val="cyan"/>
        </w:rPr>
        <w:t xml:space="preserve">permette di confrontare i livelli di qualificazione dei Paesi UE tramite un sistema comune in </w:t>
      </w:r>
      <w:proofErr w:type="gramStart"/>
      <w:r>
        <w:rPr>
          <w:highlight w:val="cyan"/>
        </w:rPr>
        <w:t>8</w:t>
      </w:r>
      <w:proofErr w:type="gramEnd"/>
      <w:r>
        <w:rPr>
          <w:highlight w:val="cyan"/>
        </w:rPr>
        <w:t xml:space="preserve"> livelli</w:t>
      </w:r>
      <w:r>
        <w:t>. Obiettivo: mobilità dei lavoratori, libera circolazione, accesso al mercato del lavoro europeo. Definisce la qualifica come risultato di valutazione di conoscenze, abilità e competenze.</w:t>
      </w:r>
    </w:p>
    <w:p w14:paraId="5FE95A13" w14:textId="77777777" w:rsidR="00A45D9E" w:rsidRPr="00CB2BC3" w:rsidRDefault="00000000">
      <w:pPr>
        <w:pStyle w:val="Corpotesto"/>
      </w:pPr>
      <w:r>
        <w:rPr>
          <w:b/>
          <w:bCs/>
        </w:rPr>
        <w:t>Tipologie di apprendimento</w:t>
      </w:r>
      <w:r>
        <w:t xml:space="preserve">: </w:t>
      </w:r>
      <w:r>
        <w:rPr>
          <w:highlight w:val="cyan"/>
        </w:rPr>
        <w:t>formale</w:t>
      </w:r>
      <w:r>
        <w:t xml:space="preserve"> (sistema di istruzione ufficiale, rilascia titoli) · </w:t>
      </w:r>
      <w:r>
        <w:rPr>
          <w:highlight w:val="cyan"/>
        </w:rPr>
        <w:t>non formale</w:t>
      </w:r>
      <w:r>
        <w:t xml:space="preserve"> (corsi, associazioni, senza titoli ufficiali) · </w:t>
      </w:r>
      <w:r>
        <w:rPr>
          <w:highlight w:val="cyan"/>
        </w:rPr>
        <w:t>informale</w:t>
      </w:r>
      <w:r>
        <w:t xml:space="preserve"> (esperienze quotidiane e lavorative, acquisizione spontanea).</w:t>
      </w:r>
      <w:bookmarkEnd w:id="18"/>
    </w:p>
    <w:p w14:paraId="16316199" w14:textId="77777777" w:rsidR="00A45D9E" w:rsidRPr="0089291A" w:rsidRDefault="00000000">
      <w:pPr>
        <w:pStyle w:val="Titolo2"/>
      </w:pPr>
      <w:bookmarkStart w:id="19" w:name="qualificare-un-professionista"/>
      <w:r>
        <w:t>3.5 Qualificare un professionista</w:t>
      </w:r>
    </w:p>
    <w:p w14:paraId="7F79E420" w14:textId="77777777" w:rsidR="00A45D9E" w:rsidRPr="00CB2BC3" w:rsidRDefault="00000000">
      <w:pPr>
        <w:pStyle w:val="FirstParagraph"/>
      </w:pPr>
      <w:r>
        <w:rPr>
          <w:b/>
          <w:bCs/>
        </w:rPr>
        <w:t>Tre strade</w:t>
      </w:r>
      <w:r>
        <w:t xml:space="preserve">: 1. </w:t>
      </w:r>
      <w:r>
        <w:rPr>
          <w:highlight w:val="cyan"/>
        </w:rPr>
        <w:t>Titoli formali</w:t>
      </w:r>
      <w:r>
        <w:t xml:space="preserve"> → professioni regolamentate: </w:t>
      </w:r>
      <w:r>
        <w:rPr>
          <w:highlight w:val="cyan"/>
        </w:rPr>
        <w:t>ordini/albi professionali</w:t>
      </w:r>
      <w:r>
        <w:t xml:space="preserve">, Esame di Stato, aggiornamento obbligatorio. 2. </w:t>
      </w:r>
      <w:r>
        <w:rPr>
          <w:highlight w:val="cyan"/>
        </w:rPr>
        <w:t>Attestazioni</w:t>
      </w:r>
      <w:r>
        <w:t xml:space="preserve"> → </w:t>
      </w:r>
      <w:r>
        <w:rPr>
          <w:highlight w:val="cyan"/>
        </w:rPr>
        <w:t>associazioni professionali</w:t>
      </w:r>
      <w:r>
        <w:t xml:space="preserve"> (professioni non regolamentate). 3. </w:t>
      </w:r>
      <w:r>
        <w:rPr>
          <w:highlight w:val="cyan"/>
        </w:rPr>
        <w:t>Certificazioni delle competenze</w:t>
      </w:r>
      <w:r>
        <w:t xml:space="preserve"> → org</w:t>
      </w:r>
      <w:r>
        <w:rPr>
          <w:highlight w:val="cyan"/>
        </w:rPr>
        <w:t>anismi accreditati da Accredia</w:t>
      </w:r>
      <w:r>
        <w:t>.</w:t>
      </w:r>
    </w:p>
    <w:bookmarkEnd w:id="19"/>
    <w:p w14:paraId="02318CA6" w14:textId="77777777" w:rsidR="00A45D9E" w:rsidRPr="0089291A" w:rsidRDefault="00000000">
      <w:pPr>
        <w:pStyle w:val="Titolo2"/>
      </w:pPr>
      <w:r>
        <w:t>3.6 Qualità della formazione</w:t>
      </w:r>
    </w:p>
    <w:p w14:paraId="41ED7ADF" w14:textId="77777777" w:rsidR="00A45D9E" w:rsidRPr="00CB2BC3" w:rsidRDefault="00000000">
      <w:pPr>
        <w:pStyle w:val="FirstParagraph"/>
      </w:pPr>
      <w:r>
        <w:t xml:space="preserve">Certificare/accreditare un corso di studi significa </w:t>
      </w:r>
      <w:r>
        <w:rPr>
          <w:highlight w:val="cyan"/>
        </w:rPr>
        <w:t>verificare che abbia sbocchi professionali coerenti con gli obiettivi formativi e con il mercato</w:t>
      </w:r>
      <w:r>
        <w:t xml:space="preserve">, docenti e infrastrutture adeguati, metodi credibili di valutazione, monitoraggio dei dati in ingresso/uscita e dei risultati post-laurea. </w:t>
      </w:r>
      <w:r>
        <w:rPr>
          <w:i/>
          <w:iCs/>
        </w:rPr>
        <w:t>(Es.: corso di studi → obbligatorio = accreditamento AVA; volontario = certificazione QUACING, organismo accreditato da EUR-ACE.)</w:t>
      </w:r>
    </w:p>
    <w:bookmarkStart w:id="20" w:name="Xf600109672a3ce0ef5c922c7db26ca0883105e5"/>
    <w:bookmarkStart w:id="21" w:name="qualità-della-formazione"/>
    <w:p w14:paraId="4E8F8A31" w14:textId="77777777" w:rsidR="00A45D9E" w:rsidRPr="00CB2BC3" w:rsidRDefault="00000000">
      <w:r>
        <w:pict w14:anchorId="661E6541">
          <v:rect id="_x0000_s1060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  <w:bookmarkEnd w:id="20"/>
      <w:bookmarkEnd w:id="21"/>
    </w:p>
    <w:p w14:paraId="73B547B9" w14:textId="77777777" w:rsidR="00A45D9E" w:rsidRDefault="00000000">
      <w:pPr>
        <w:pStyle w:val="Titolo1"/>
      </w:pPr>
      <w:bookmarkStart w:id="22" w:name="modulo-4-sistema-qualità-1"/>
      <w:r>
        <w:t>Modulo 4 — Sistema Qualità 1</w:t>
      </w:r>
    </w:p>
    <w:p w14:paraId="5A040463" w14:textId="653DD5B2" w:rsidR="00373FB0" w:rsidRPr="00373FB0" w:rsidRDefault="00000000" w:rsidP="00373FB0">
      <w:pPr>
        <w:pStyle w:val="Corpotesto"/>
      </w:pPr>
      <w:r>
        <w:pict w14:anchorId="3188B96A">
          <v:rect id="_x0000_s1059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</w:p>
    <w:p w14:paraId="2B93881A" w14:textId="77777777" w:rsidR="00A45D9E" w:rsidRPr="009602FE" w:rsidRDefault="00000000">
      <w:pPr>
        <w:pStyle w:val="Titolo2"/>
      </w:pPr>
      <w:bookmarkStart w:id="23" w:name="lazienda-come-sistema-dinamico-aperto"/>
      <w:r>
        <w:t>4.1 L’azienda come sistema dinamico aperto</w:t>
      </w:r>
    </w:p>
    <w:p w14:paraId="55D90D6F" w14:textId="77777777" w:rsidR="00A45D9E" w:rsidRPr="00CB2BC3" w:rsidRDefault="00000000">
      <w:pPr>
        <w:pStyle w:val="FirstParagraph"/>
      </w:pPr>
      <w:r>
        <w:rPr>
          <w:b/>
          <w:bCs/>
        </w:rPr>
        <w:t>L’azienda</w:t>
      </w:r>
      <w:r>
        <w:t xml:space="preserve"> è un sistema dinamico aperto: </w:t>
      </w:r>
      <w:r>
        <w:rPr>
          <w:highlight w:val="cyan"/>
        </w:rPr>
        <w:t>insieme di elementi diversi, organizzati e collegati per uno scopo comune</w:t>
      </w:r>
      <w:r>
        <w:t xml:space="preserve">. - </w:t>
      </w:r>
      <w:r>
        <w:rPr>
          <w:highlight w:val="cyan"/>
        </w:rPr>
        <w:t>Risorse</w:t>
      </w:r>
      <w:r>
        <w:t xml:space="preserve">: </w:t>
      </w:r>
      <w:r>
        <w:rPr>
          <w:i/>
          <w:iCs/>
          <w:highlight w:val="cyan"/>
        </w:rPr>
        <w:t>hard</w:t>
      </w:r>
      <w:r>
        <w:t xml:space="preserve"> (persone, tecnologie, materiali, denaro) e </w:t>
      </w:r>
      <w:r>
        <w:rPr>
          <w:i/>
          <w:iCs/>
          <w:highlight w:val="cyan"/>
        </w:rPr>
        <w:t>soft</w:t>
      </w:r>
      <w:r>
        <w:t xml:space="preserve"> (cultura, competenze, know-how). - </w:t>
      </w:r>
      <w:r>
        <w:rPr>
          <w:highlight w:val="cyan"/>
        </w:rPr>
        <w:t>Legami</w:t>
      </w:r>
      <w:r>
        <w:t xml:space="preserve">: </w:t>
      </w:r>
      <w:r>
        <w:rPr>
          <w:i/>
          <w:iCs/>
          <w:highlight w:val="cyan"/>
        </w:rPr>
        <w:t>formali</w:t>
      </w:r>
      <w:r>
        <w:t xml:space="preserve"> (regole, ruoli, procedure, strutture) e </w:t>
      </w:r>
      <w:r>
        <w:rPr>
          <w:i/>
          <w:iCs/>
          <w:highlight w:val="cyan"/>
        </w:rPr>
        <w:t>informali</w:t>
      </w:r>
      <w:r>
        <w:t xml:space="preserve"> (relazioni personali, abitudini). - </w:t>
      </w:r>
      <w:r>
        <w:rPr>
          <w:highlight w:val="cyan"/>
        </w:rPr>
        <w:t>Complesso</w:t>
      </w:r>
      <w:r>
        <w:t xml:space="preserve"> (molti elementi e relazioni) e </w:t>
      </w:r>
      <w:r>
        <w:rPr>
          <w:highlight w:val="cyan"/>
        </w:rPr>
        <w:t>dinamico</w:t>
      </w:r>
      <w:r>
        <w:t xml:space="preserve"> (cambia nel tempo). - </w:t>
      </w:r>
      <w:r>
        <w:rPr>
          <w:highlight w:val="cyan"/>
        </w:rPr>
        <w:t>Aperto perché interagisce con l’ambiente esterno</w:t>
      </w:r>
      <w:r>
        <w:t xml:space="preserve">: - </w:t>
      </w:r>
      <w:r>
        <w:rPr>
          <w:highlight w:val="cyan"/>
        </w:rPr>
        <w:lastRenderedPageBreak/>
        <w:t>Ambiente operativo</w:t>
      </w:r>
      <w:r>
        <w:t xml:space="preserve"> = stakeholder con legame diretto (clienti, fornitori, dipendenti, concorrenti, banche…). - </w:t>
      </w:r>
      <w:r>
        <w:rPr>
          <w:highlight w:val="cyan"/>
        </w:rPr>
        <w:t>Ambiente sociale</w:t>
      </w:r>
      <w:r>
        <w:t xml:space="preserve"> = fattori indiretti (leggi, regolamenti, fisco, cultura, situazione economica).</w:t>
      </w:r>
    </w:p>
    <w:p w14:paraId="02E539D0" w14:textId="77777777" w:rsidR="00A45D9E" w:rsidRPr="00CB2BC3" w:rsidRDefault="00000000">
      <w:pPr>
        <w:pStyle w:val="Corpotesto"/>
      </w:pPr>
      <w:r>
        <w:t>Per comprenderla serve un approccio sistemico: non somma di parti, ma insieme organizzato di elementi e relazioni in evoluzione.</w:t>
      </w:r>
      <w:bookmarkEnd w:id="23"/>
    </w:p>
    <w:p w14:paraId="2EE795EA" w14:textId="77777777" w:rsidR="00A45D9E" w:rsidRPr="009602FE" w:rsidRDefault="00000000">
      <w:pPr>
        <w:pStyle w:val="Titolo2"/>
      </w:pPr>
      <w:bookmarkStart w:id="24" w:name="sistema-sistema-di-gestione-sgq"/>
      <w:r>
        <w:t>4.2 Sistema → Sistema di gestione → SGQ</w:t>
      </w:r>
    </w:p>
    <w:p w14:paraId="056EF214" w14:textId="77777777" w:rsidR="00A45D9E" w:rsidRPr="00CB2BC3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Sistema</w:t>
      </w:r>
      <w:r>
        <w:t xml:space="preserve"> (ISO 9000:2015) — </w:t>
      </w:r>
      <w:r>
        <w:rPr>
          <w:highlight w:val="cyan"/>
        </w:rPr>
        <w:t>insieme di elementi correlati o interagenti</w:t>
      </w:r>
      <w:r>
        <w:t>.</w:t>
      </w:r>
    </w:p>
    <w:p w14:paraId="0C499900" w14:textId="77777777" w:rsidR="00A45D9E" w:rsidRPr="00CB2BC3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Sistema di gestione</w:t>
      </w:r>
      <w:r>
        <w:t xml:space="preserve"> — </w:t>
      </w:r>
      <w:r>
        <w:rPr>
          <w:highlight w:val="cyan"/>
        </w:rPr>
        <w:t>elementi correlati dell’organizzazione</w:t>
      </w:r>
      <w:r>
        <w:t xml:space="preserve"> usati per stabilire politiche, obiettivi e processi per conseguirli.</w:t>
      </w:r>
    </w:p>
    <w:p w14:paraId="7E7F3D28" w14:textId="77777777" w:rsidR="00A45D9E" w:rsidRPr="00CB2BC3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SGQ</w:t>
      </w:r>
      <w:r>
        <w:t xml:space="preserve"> (Sistema di Gestione per la Qualità) — </w:t>
      </w:r>
      <w:r>
        <w:rPr>
          <w:highlight w:val="cyan"/>
        </w:rPr>
        <w:t>la parte del sistema di gestione riferita alla qualità</w:t>
      </w:r>
      <w:r>
        <w:t>.</w:t>
      </w:r>
      <w:bookmarkEnd w:id="24"/>
    </w:p>
    <w:p w14:paraId="725A3585" w14:textId="77777777" w:rsidR="00A45D9E" w:rsidRPr="009602FE" w:rsidRDefault="00000000">
      <w:pPr>
        <w:pStyle w:val="Titolo2"/>
      </w:pPr>
      <w:bookmarkStart w:id="25" w:name="X8655d03216b7f742cc598a52078b83efdd91e66"/>
      <w:r>
        <w:t>4.3 Implementare un SGQ (e ruolo delle ISO 9000)</w:t>
      </w:r>
    </w:p>
    <w:p w14:paraId="09C41140" w14:textId="77777777" w:rsidR="00A45D9E" w:rsidRPr="00CB2BC3" w:rsidRDefault="00000000">
      <w:pPr>
        <w:pStyle w:val="FirstParagraph"/>
      </w:pPr>
      <w:r>
        <w:rPr>
          <w:b/>
          <w:bCs/>
        </w:rPr>
        <w:t>Passi</w:t>
      </w:r>
      <w:r>
        <w:t xml:space="preserve">: </w:t>
      </w:r>
      <w:r>
        <w:rPr>
          <w:highlight w:val="cyan"/>
        </w:rPr>
        <w:t>capire il contesto</w:t>
      </w:r>
      <w:r>
        <w:t xml:space="preserve"> → </w:t>
      </w:r>
      <w:r>
        <w:rPr>
          <w:highlight w:val="cyan"/>
        </w:rPr>
        <w:t>definire la leadership</w:t>
      </w:r>
      <w:r>
        <w:t xml:space="preserve"> (ruoli e responsabilità) → </w:t>
      </w:r>
      <w:r>
        <w:rPr>
          <w:highlight w:val="cyan"/>
        </w:rPr>
        <w:t>fissare gli obiettivi</w:t>
      </w:r>
      <w:r>
        <w:t xml:space="preserve"> → </w:t>
      </w:r>
      <w:r>
        <w:rPr>
          <w:highlight w:val="cyan"/>
        </w:rPr>
        <w:t>mettere a disposizione le risorse</w:t>
      </w:r>
      <w:r>
        <w:t xml:space="preserve"> → </w:t>
      </w:r>
      <w:r>
        <w:rPr>
          <w:highlight w:val="cyan"/>
        </w:rPr>
        <w:t>organizzare le attività operative</w:t>
      </w:r>
      <w:r>
        <w:t xml:space="preserve"> → </w:t>
      </w:r>
      <w:r>
        <w:rPr>
          <w:highlight w:val="cyan"/>
        </w:rPr>
        <w:t>controllare</w:t>
      </w:r>
      <w:r>
        <w:t xml:space="preserve"> → </w:t>
      </w:r>
      <w:r>
        <w:rPr>
          <w:highlight w:val="cyan"/>
        </w:rPr>
        <w:t>migliorare</w:t>
      </w:r>
      <w:r>
        <w:t xml:space="preserve">. </w:t>
      </w:r>
      <w:r>
        <w:rPr>
          <w:i/>
          <w:iCs/>
        </w:rPr>
        <w:t>(È la sequenza dei capitoli 4-10, cioè il PDCA.)</w:t>
      </w:r>
    </w:p>
    <w:p w14:paraId="41D68750" w14:textId="77777777" w:rsidR="00A45D9E" w:rsidRPr="00CB2BC3" w:rsidRDefault="00000000">
      <w:pPr>
        <w:pStyle w:val="Corpotesto"/>
      </w:pPr>
      <w:r>
        <w:t>Ruolo delle norme: la ISO 9000:2015 fornisce concetti, principi e linguaggio comune; la ISO 9001 fornisce i requisiti da rispettare per la certificazione. La revisione 2015 ha reso le norme più chiare, sintetiche e adatte alle esigenze attuali.</w:t>
      </w:r>
      <w:bookmarkEnd w:id="25"/>
    </w:p>
    <w:p w14:paraId="5E11D157" w14:textId="77777777" w:rsidR="00A45D9E" w:rsidRPr="009602FE" w:rsidRDefault="00000000">
      <w:pPr>
        <w:pStyle w:val="Titolo2"/>
      </w:pPr>
      <w:bookmarkStart w:id="26" w:name="iso-90012015-novità-e-struttura"/>
      <w:r>
        <w:t>4.4 ISO 9001:2015 — novità e struttura</w:t>
      </w:r>
    </w:p>
    <w:p w14:paraId="6C98E92B" w14:textId="77777777" w:rsidR="00A45D9E" w:rsidRPr="00CB2BC3" w:rsidRDefault="00000000">
      <w:pPr>
        <w:pStyle w:val="FirstParagraph"/>
      </w:pPr>
      <w:r>
        <w:rPr>
          <w:b/>
          <w:bCs/>
        </w:rPr>
        <w:t>Le 5 novità principali</w:t>
      </w:r>
      <w:r>
        <w:t xml:space="preserve">: 1. </w:t>
      </w:r>
      <w:r>
        <w:rPr>
          <w:highlight w:val="cyan"/>
        </w:rPr>
        <w:t>Risk-Based Thinking</w:t>
      </w:r>
      <w:r>
        <w:t xml:space="preserve"> — il SGQ diventa azione preventiva. 2. </w:t>
      </w:r>
      <w:r>
        <w:rPr>
          <w:highlight w:val="cyan"/>
        </w:rPr>
        <w:t>Approccio per processi</w:t>
      </w:r>
      <w:r>
        <w:t xml:space="preserve">. 3. </w:t>
      </w:r>
      <w:r>
        <w:rPr>
          <w:highlight w:val="cyan"/>
        </w:rPr>
        <w:t>Informazione documentata</w:t>
      </w:r>
      <w:r>
        <w:t xml:space="preserve">. 4. </w:t>
      </w:r>
      <w:r w:rsidRPr="005B216D">
        <w:rPr>
          <w:highlight w:val="cyan"/>
        </w:rPr>
        <w:t xml:space="preserve">Maggior </w:t>
      </w:r>
      <w:r>
        <w:rPr>
          <w:highlight w:val="cyan"/>
        </w:rPr>
        <w:t>enfasi sull’autovalutazione</w:t>
      </w:r>
      <w:r>
        <w:t xml:space="preserve">. 5. </w:t>
      </w:r>
      <w:r>
        <w:rPr>
          <w:highlight w:val="cyan"/>
        </w:rPr>
        <w:t>HLS</w:t>
      </w:r>
      <w:r>
        <w:t xml:space="preserve"> (High Level </w:t>
      </w:r>
      <w:proofErr w:type="spellStart"/>
      <w:r>
        <w:t>Structure</w:t>
      </w:r>
      <w:proofErr w:type="spellEnd"/>
      <w:r>
        <w:t>) — struttura comune a tutte le norme sui sistemi di gestione, per integrarli in un unico sistema.</w:t>
      </w:r>
    </w:p>
    <w:p w14:paraId="41360C69" w14:textId="77777777" w:rsidR="00A45D9E" w:rsidRPr="00CB2BC3" w:rsidRDefault="00000000">
      <w:pPr>
        <w:pStyle w:val="Corpotesto"/>
      </w:pPr>
      <w:r>
        <w:rPr>
          <w:b/>
          <w:bCs/>
        </w:rPr>
        <w:t>Struttura della norma</w:t>
      </w:r>
      <w:r>
        <w:t xml:space="preserve"> (11 punti, 0-10): - </w:t>
      </w:r>
      <w:r>
        <w:rPr>
          <w:highlight w:val="cyan"/>
        </w:rPr>
        <w:t>0 Introduzione, 1 Scopo, 2 Riferimenti normativi, 3 Termini e definizioni (introduttivi) - 4 Contesto · 5 Leadership · 6 Pianificazione · 7 Supporto · 8 Attività operative · 9 Valutazione delle prestazioni · 10 Miglioramento</w:t>
      </w:r>
    </w:p>
    <w:p w14:paraId="5186E04D" w14:textId="77777777" w:rsidR="00A45D9E" w:rsidRPr="00CB2BC3" w:rsidRDefault="00000000">
      <w:pPr>
        <w:pStyle w:val="Corpotesto"/>
      </w:pPr>
      <w:r>
        <w:t>I 7 punti operativi (4-10) mappati sul PDCA:</w:t>
      </w:r>
    </w:p>
    <w:tbl>
      <w:tblPr>
        <w:tblStyle w:val="Table"/>
        <w:tblW w:w="7920" w:type="dxa"/>
        <w:tblInd w:w="108" w:type="dxa"/>
        <w:tblLayout w:type="fixed"/>
        <w:tblLook w:val="0020" w:firstRow="1" w:lastRow="0" w:firstColumn="0" w:lastColumn="0" w:noHBand="0" w:noVBand="0"/>
      </w:tblPr>
      <w:tblGrid>
        <w:gridCol w:w="3961"/>
        <w:gridCol w:w="3959"/>
      </w:tblGrid>
      <w:tr w:rsidR="00A45D9E" w:rsidRPr="00CB2BC3" w14:paraId="1336E5AC" w14:textId="77777777" w:rsidTr="00A45D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single" w:sz="6" w:space="0" w:color="000000"/>
            </w:tcBorders>
          </w:tcPr>
          <w:p w14:paraId="3E57C0BD" w14:textId="77777777" w:rsidR="00A45D9E" w:rsidRPr="009602FE" w:rsidRDefault="00000000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t>PDCA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</w:tcPr>
          <w:p w14:paraId="4789F989" w14:textId="77777777" w:rsidR="00A45D9E" w:rsidRPr="009602FE" w:rsidRDefault="00000000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t>Capitoli ISO 9001</w:t>
            </w:r>
          </w:p>
        </w:tc>
      </w:tr>
      <w:tr w:rsidR="00A45D9E" w:rsidRPr="00CB2BC3" w14:paraId="57684567" w14:textId="77777777" w:rsidTr="00A45D9E">
        <w:tc>
          <w:tcPr>
            <w:tcW w:w="3960" w:type="dxa"/>
          </w:tcPr>
          <w:p w14:paraId="3C15B65A" w14:textId="77777777" w:rsidR="00A45D9E" w:rsidRPr="009602FE" w:rsidRDefault="00000000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t>Plan</w:t>
            </w:r>
          </w:p>
        </w:tc>
        <w:tc>
          <w:tcPr>
            <w:tcW w:w="3959" w:type="dxa"/>
          </w:tcPr>
          <w:p w14:paraId="28015D62" w14:textId="77777777" w:rsidR="00A45D9E" w:rsidRPr="00544FA7" w:rsidRDefault="00000000">
            <w:pPr>
              <w:pStyle w:val="Compact"/>
              <w:rPr>
                <w:rFonts w:ascii="Cambria" w:eastAsia="Cambria" w:hAnsi="Cambria"/>
                <w:highlight w:val="cyan"/>
              </w:rPr>
            </w:pPr>
            <w:r>
              <w:rPr>
                <w:rFonts w:eastAsia="Cambria"/>
                <w:highlight w:val="cyan"/>
              </w:rPr>
              <w:t>4 Contesto + 5 Leadership + 6 Pianificazione</w:t>
            </w:r>
          </w:p>
        </w:tc>
      </w:tr>
      <w:tr w:rsidR="00A45D9E" w:rsidRPr="00CB2BC3" w14:paraId="0CE39C87" w14:textId="77777777" w:rsidTr="00A45D9E">
        <w:tc>
          <w:tcPr>
            <w:tcW w:w="3960" w:type="dxa"/>
          </w:tcPr>
          <w:p w14:paraId="563B6139" w14:textId="77777777" w:rsidR="00A45D9E" w:rsidRPr="009602FE" w:rsidRDefault="00000000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t>Do</w:t>
            </w:r>
          </w:p>
        </w:tc>
        <w:tc>
          <w:tcPr>
            <w:tcW w:w="3959" w:type="dxa"/>
          </w:tcPr>
          <w:p w14:paraId="3F0DBB9F" w14:textId="77777777" w:rsidR="00A45D9E" w:rsidRPr="00544FA7" w:rsidRDefault="00000000">
            <w:pPr>
              <w:pStyle w:val="Compact"/>
              <w:rPr>
                <w:rFonts w:ascii="Cambria" w:eastAsia="Cambria" w:hAnsi="Cambria"/>
                <w:highlight w:val="cyan"/>
              </w:rPr>
            </w:pPr>
            <w:r>
              <w:rPr>
                <w:rFonts w:eastAsia="Cambria"/>
                <w:highlight w:val="cyan"/>
              </w:rPr>
              <w:t>7 Supporto + 8 Attività operative</w:t>
            </w:r>
          </w:p>
        </w:tc>
      </w:tr>
      <w:tr w:rsidR="00A45D9E" w:rsidRPr="00CB2BC3" w14:paraId="30994A68" w14:textId="77777777" w:rsidTr="00A45D9E">
        <w:tc>
          <w:tcPr>
            <w:tcW w:w="3960" w:type="dxa"/>
          </w:tcPr>
          <w:p w14:paraId="12F8B1C0" w14:textId="77777777" w:rsidR="00A45D9E" w:rsidRPr="009602FE" w:rsidRDefault="00000000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t>Check</w:t>
            </w:r>
          </w:p>
        </w:tc>
        <w:tc>
          <w:tcPr>
            <w:tcW w:w="3959" w:type="dxa"/>
          </w:tcPr>
          <w:p w14:paraId="69C7C9E5" w14:textId="77777777" w:rsidR="00A45D9E" w:rsidRPr="00544FA7" w:rsidRDefault="00000000">
            <w:pPr>
              <w:pStyle w:val="Compact"/>
              <w:rPr>
                <w:rFonts w:ascii="Cambria" w:eastAsia="Cambria" w:hAnsi="Cambria"/>
                <w:highlight w:val="cyan"/>
              </w:rPr>
            </w:pPr>
            <w:r>
              <w:rPr>
                <w:rFonts w:eastAsia="Cambria"/>
                <w:highlight w:val="cyan"/>
              </w:rPr>
              <w:t>9 Valutazione delle prestazioni</w:t>
            </w:r>
          </w:p>
        </w:tc>
      </w:tr>
      <w:tr w:rsidR="00A45D9E" w:rsidRPr="00CB2BC3" w14:paraId="7637B321" w14:textId="77777777" w:rsidTr="00A45D9E">
        <w:tc>
          <w:tcPr>
            <w:tcW w:w="3960" w:type="dxa"/>
          </w:tcPr>
          <w:p w14:paraId="03C8470F" w14:textId="77777777" w:rsidR="00A45D9E" w:rsidRPr="009602FE" w:rsidRDefault="00000000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t>Act</w:t>
            </w:r>
          </w:p>
        </w:tc>
        <w:tc>
          <w:tcPr>
            <w:tcW w:w="3959" w:type="dxa"/>
          </w:tcPr>
          <w:p w14:paraId="355AC4AB" w14:textId="77777777" w:rsidR="00A45D9E" w:rsidRPr="00544FA7" w:rsidRDefault="00000000">
            <w:pPr>
              <w:pStyle w:val="Compact"/>
              <w:rPr>
                <w:rFonts w:ascii="Cambria" w:eastAsia="Cambria" w:hAnsi="Cambria"/>
                <w:highlight w:val="cyan"/>
              </w:rPr>
            </w:pPr>
            <w:r>
              <w:rPr>
                <w:rFonts w:eastAsia="Cambria"/>
                <w:highlight w:val="cyan"/>
              </w:rPr>
              <w:t>10 Miglioramento</w:t>
            </w:r>
          </w:p>
        </w:tc>
      </w:tr>
    </w:tbl>
    <w:p w14:paraId="51DFDF1D" w14:textId="77777777" w:rsidR="00A45D9E" w:rsidRPr="00CB2BC3" w:rsidRDefault="00000000">
      <w:pPr>
        <w:pStyle w:val="Testodelblocco"/>
      </w:pPr>
      <w:r>
        <w:t>Questo modulo (PDF 4) copre la fase Plan. Il Do è nel Modulo 5, il Check nel Modulo 6, l’Act nel Modulo 7.</w:t>
      </w:r>
    </w:p>
    <w:p w14:paraId="147F4B8E" w14:textId="77777777" w:rsidR="00A45D9E" w:rsidRPr="009602FE" w:rsidRDefault="00000000">
      <w:pPr>
        <w:pStyle w:val="Titolo2"/>
      </w:pPr>
      <w:bookmarkStart w:id="27" w:name="bis-risk-based-thinking"/>
      <w:bookmarkEnd w:id="26"/>
      <w:r>
        <w:lastRenderedPageBreak/>
        <w:t>4.4-bis Risk-Based Thinking</w:t>
      </w:r>
    </w:p>
    <w:p w14:paraId="72824F43" w14:textId="77777777" w:rsidR="00A45D9E" w:rsidRPr="00CB2BC3" w:rsidRDefault="00000000">
      <w:pPr>
        <w:pStyle w:val="FirstParagraph"/>
      </w:pPr>
      <w:r>
        <w:rPr>
          <w:highlight w:val="cyan"/>
        </w:rPr>
        <w:t>Approccio basato sulla valutazione di rischi e opportunità prima di decidere</w:t>
      </w:r>
      <w:r>
        <w:t xml:space="preserve">. Il rischio non è solo un pericolo: è una situazione incerta che </w:t>
      </w:r>
      <w:r>
        <w:rPr>
          <w:highlight w:val="cyan"/>
        </w:rPr>
        <w:t>può produrre effetti negativi o opportunità</w:t>
      </w:r>
      <w:r>
        <w:t xml:space="preserve"> di miglioramento. Nella 2015 l’azione preventiva non è più separata: diventa parte integrante del SGQ. È il motore che giustifica l’analisi del contesto (4.1): senza conoscere fattori interni/esterni non puoi identificare i rischi.</w:t>
      </w:r>
      <w:bookmarkEnd w:id="27"/>
    </w:p>
    <w:p w14:paraId="0C27C4E3" w14:textId="77777777" w:rsidR="00A45D9E" w:rsidRPr="009602FE" w:rsidRDefault="00000000">
      <w:pPr>
        <w:pStyle w:val="Titolo2"/>
      </w:pPr>
      <w:bookmarkStart w:id="28" w:name="X751a88acd36c20c64fb0fcadeb2015132761723"/>
      <w:r>
        <w:t>Capitolo 4 della norma — Contesto dell’organizzazione</w:t>
      </w:r>
    </w:p>
    <w:p w14:paraId="6CB90291" w14:textId="77777777" w:rsidR="00A45D9E" w:rsidRPr="00CB2BC3" w:rsidRDefault="00000000">
      <w:pPr>
        <w:pStyle w:val="FirstParagraph"/>
      </w:pPr>
      <w:r>
        <w:t xml:space="preserve">I 4 sottopunti rispondono a domande progressive: </w:t>
      </w:r>
      <w:r>
        <w:rPr>
          <w:i/>
          <w:iCs/>
        </w:rPr>
        <w:t>dove sono? → chi mi guarda? → di cosa mi occupo? → come lo faccio?</w:t>
      </w:r>
    </w:p>
    <w:p w14:paraId="10A4672B" w14:textId="77777777" w:rsidR="00A45D9E" w:rsidRPr="00CB2BC3" w:rsidRDefault="00000000">
      <w:pPr>
        <w:pStyle w:val="Corpotesto"/>
      </w:pPr>
      <w:r>
        <w:t xml:space="preserve">4.1 — </w:t>
      </w:r>
      <w:r>
        <w:rPr>
          <w:b/>
          <w:bCs/>
        </w:rPr>
        <w:t>Comprendere l’organizzazione e il suo contesto</w:t>
      </w:r>
      <w:r>
        <w:t xml:space="preserve">. </w:t>
      </w:r>
      <w:r>
        <w:rPr>
          <w:highlight w:val="cyan"/>
        </w:rPr>
        <w:t>Determinare i fattori interni</w:t>
      </w:r>
      <w:r>
        <w:t xml:space="preserve"> (struttura, risorse, competenze, processi, strategie) </w:t>
      </w:r>
      <w:r>
        <w:rPr>
          <w:highlight w:val="cyan"/>
        </w:rPr>
        <w:t>ed esterni</w:t>
      </w:r>
      <w:r>
        <w:t xml:space="preserve"> (mercato, concorrenza, norme, condizioni economiche/sociali/tecnologiche) </w:t>
      </w:r>
      <w:r>
        <w:rPr>
          <w:highlight w:val="cyan"/>
        </w:rPr>
        <w:t>che influenzano gli obiettivi</w:t>
      </w:r>
      <w:r>
        <w:t xml:space="preserve">. Strumento: </w:t>
      </w:r>
      <w:r>
        <w:rPr>
          <w:highlight w:val="cyan"/>
        </w:rPr>
        <w:t>l’analisi SWOT</w:t>
      </w:r>
      <w:r>
        <w:t xml:space="preserve"> (interno: </w:t>
      </w:r>
      <w:proofErr w:type="spellStart"/>
      <w:r>
        <w:t>Strengths</w:t>
      </w:r>
      <w:proofErr w:type="spellEnd"/>
      <w:r>
        <w:t>/</w:t>
      </w:r>
      <w:proofErr w:type="spellStart"/>
      <w:r>
        <w:t>Weaknesses</w:t>
      </w:r>
      <w:proofErr w:type="spellEnd"/>
      <w:r>
        <w:t xml:space="preserve">; esterno: </w:t>
      </w:r>
      <w:proofErr w:type="spellStart"/>
      <w:r>
        <w:t>Opportunities</w:t>
      </w:r>
      <w:proofErr w:type="spellEnd"/>
      <w:r>
        <w:t>/Threats). Dai fattori negativi emergono i rischi, da quelli positivi le opportunità.</w:t>
      </w:r>
    </w:p>
    <w:p w14:paraId="0E16A515" w14:textId="77777777" w:rsidR="00A45D9E" w:rsidRPr="00CB2BC3" w:rsidRDefault="00000000">
      <w:pPr>
        <w:pStyle w:val="Corpotesto"/>
      </w:pPr>
      <w:r>
        <w:t xml:space="preserve">4.2 — </w:t>
      </w:r>
      <w:r>
        <w:rPr>
          <w:b/>
          <w:bCs/>
        </w:rPr>
        <w:t>Esigenze e aspettative delle parti interessate</w:t>
      </w:r>
      <w:r>
        <w:t xml:space="preserve">. </w:t>
      </w:r>
      <w:r>
        <w:rPr>
          <w:highlight w:val="cyan"/>
        </w:rPr>
        <w:t>Identificare le parti interessate rilevanti</w:t>
      </w:r>
      <w:r>
        <w:t xml:space="preserve"> (clienti, fornitori…) </w:t>
      </w:r>
      <w:r>
        <w:rPr>
          <w:highlight w:val="cyan"/>
        </w:rPr>
        <w:t>e comprenderne esigenze</w:t>
      </w:r>
      <w:r>
        <w:t xml:space="preserve"> (requisiti cogenti, presenti nei contratti) </w:t>
      </w:r>
      <w:r>
        <w:rPr>
          <w:highlight w:val="cyan"/>
        </w:rPr>
        <w:t>e aspettative</w:t>
      </w:r>
      <w:r>
        <w:t xml:space="preserve"> (requisiti informali, non espressi formalmente). Interessano solo le istanze che possono influenzare la capacità di raggiungere gli obiettivi.</w:t>
      </w:r>
    </w:p>
    <w:p w14:paraId="15C7BC8C" w14:textId="77777777" w:rsidR="00A45D9E" w:rsidRPr="00CB2BC3" w:rsidRDefault="00000000">
      <w:pPr>
        <w:pStyle w:val="Corpotesto"/>
      </w:pPr>
      <w:r>
        <w:t xml:space="preserve">4.3 — </w:t>
      </w:r>
      <w:r>
        <w:rPr>
          <w:b/>
          <w:bCs/>
        </w:rPr>
        <w:t>Campo di applicazione del SGQ</w:t>
      </w:r>
      <w:r>
        <w:t xml:space="preserve">. </w:t>
      </w:r>
      <w:r>
        <w:rPr>
          <w:highlight w:val="cyan"/>
        </w:rPr>
        <w:t>Stabilire a quali prodotti/servizi/sedi/funzioni si applica il sistema</w:t>
      </w:r>
      <w:r>
        <w:t xml:space="preserve">. </w:t>
      </w:r>
      <w:r>
        <w:rPr>
          <w:highlight w:val="cyan"/>
        </w:rPr>
        <w:t>Qui si possono inserire le non applicabilità</w:t>
      </w:r>
      <w:r>
        <w:t xml:space="preserve">: escludere alcuni requisiti dei capitoli 6-10 che non si applicano al contesto. </w:t>
      </w:r>
      <w:r>
        <w:rPr>
          <w:i/>
          <w:iCs/>
        </w:rPr>
        <w:t>Condizione:</w:t>
      </w:r>
      <w:r>
        <w:t xml:space="preserve"> l’esclusione è ammessa solo se non compromette la capacità/responsabilità di assicurare la conformità dei prodotti; va documentata e giustificata da motivi validi.</w:t>
      </w:r>
    </w:p>
    <w:p w14:paraId="2A98F6E4" w14:textId="77777777" w:rsidR="0030121E" w:rsidRDefault="00000000" w:rsidP="009602FE">
      <w:pPr>
        <w:pStyle w:val="Corpotesto"/>
      </w:pPr>
      <w:r>
        <w:t xml:space="preserve">4.4 — </w:t>
      </w:r>
      <w:r>
        <w:rPr>
          <w:b/>
          <w:bCs/>
        </w:rPr>
        <w:t>SGQ e relativi processi</w:t>
      </w:r>
      <w:r>
        <w:t xml:space="preserve">. È il cuore della norma. </w:t>
      </w:r>
      <w:r>
        <w:rPr>
          <w:highlight w:val="cyan"/>
        </w:rPr>
        <w:t>Raggruppare le attività per processi e denominarli</w:t>
      </w:r>
      <w:r>
        <w:t xml:space="preserve">. - Processo = insieme di attività che trasformano input in output creando valore. </w:t>
      </w:r>
      <w:r>
        <w:rPr>
          <w:highlight w:val="cyan"/>
        </w:rPr>
        <w:t>Va definito con: input/output, obiettivi, risorse, responsabilità, attività, punti di controllo, registrazioni e indici di prestazione</w:t>
      </w:r>
      <w:r>
        <w:t xml:space="preserve">. - </w:t>
      </w:r>
      <w:r>
        <w:rPr>
          <w:b/>
          <w:bCs/>
        </w:rPr>
        <w:t>Approccio per processi</w:t>
      </w:r>
      <w:r>
        <w:t xml:space="preserve"> = </w:t>
      </w:r>
      <w:r>
        <w:rPr>
          <w:highlight w:val="cyan"/>
        </w:rPr>
        <w:t>gestire l’organizzazione tramite processi</w:t>
      </w:r>
      <w:r>
        <w:t xml:space="preserve"> identificati, mappati, controllati e migliorati, con indicatori di prestazione confrontati con gli obiettivi. - </w:t>
      </w:r>
      <w:r>
        <w:rPr>
          <w:b/>
          <w:bCs/>
        </w:rPr>
        <w:t>Gestione per processi</w:t>
      </w:r>
      <w:r>
        <w:t xml:space="preserve"> = </w:t>
      </w:r>
      <w:r>
        <w:rPr>
          <w:highlight w:val="cyan"/>
        </w:rPr>
        <w:t>gli obiettivi dei singoli processi devono essere coerenti con la politica generale</w:t>
      </w:r>
      <w:r>
        <w:t xml:space="preserve">; il miglioramento si pianifica a livello complessivo e poi si distribuisce. - </w:t>
      </w:r>
      <w:r>
        <w:rPr>
          <w:highlight w:val="cyan"/>
        </w:rPr>
        <w:t>Tipologie: processi primari</w:t>
      </w:r>
      <w:r>
        <w:t xml:space="preserve"> (creano valore riconosciuto dal cliente), </w:t>
      </w:r>
      <w:r>
        <w:rPr>
          <w:highlight w:val="cyan"/>
        </w:rPr>
        <w:t>di supporto</w:t>
      </w:r>
      <w:r>
        <w:t xml:space="preserve"> (non creano valore diretto ma servono, es. gestione ambientale/sicurezza/documenti), sottoprocessi. - </w:t>
      </w:r>
      <w:r>
        <w:rPr>
          <w:b/>
          <w:bCs/>
        </w:rPr>
        <w:t xml:space="preserve">Process </w:t>
      </w:r>
      <w:proofErr w:type="spellStart"/>
      <w:r>
        <w:rPr>
          <w:b/>
          <w:bCs/>
        </w:rPr>
        <w:t>owner</w:t>
      </w:r>
      <w:proofErr w:type="spellEnd"/>
      <w:r>
        <w:t xml:space="preserve">: </w:t>
      </w:r>
      <w:r>
        <w:rPr>
          <w:highlight w:val="cyan"/>
        </w:rPr>
        <w:t>ogni processo deve avere un solo responsabile</w:t>
      </w:r>
      <w:r>
        <w:t xml:space="preserve">; se la responsabilità non è chiara, il processo va suddiviso. - </w:t>
      </w:r>
      <w:r>
        <w:rPr>
          <w:b/>
          <w:bCs/>
        </w:rPr>
        <w:t>Processi vs funzioni</w:t>
      </w:r>
      <w:r>
        <w:t xml:space="preserve">: </w:t>
      </w:r>
      <w:r>
        <w:rPr>
          <w:highlight w:val="cyan"/>
        </w:rPr>
        <w:t>i processi sono trasversali alle funzioni aziendali</w:t>
      </w:r>
      <w:r>
        <w:t xml:space="preserve"> (un ordine attraversa commerciale, produzione, logistica, amministrazione). Si rappresentano con la matrice processi-funzioni dove si vuole gestire la qualità per processi end-to-end, non per reparti isolati. - </w:t>
      </w:r>
      <w:r>
        <w:rPr>
          <w:b/>
          <w:bCs/>
        </w:rPr>
        <w:t>Valore aggiunto</w:t>
      </w:r>
      <w:r>
        <w:t xml:space="preserve">: </w:t>
      </w:r>
      <w:r>
        <w:rPr>
          <w:highlight w:val="cyan"/>
        </w:rPr>
        <w:t>ogni reparto aggiunge valore al successivo</w:t>
      </w:r>
      <w:r>
        <w:t xml:space="preserve">. - </w:t>
      </w:r>
      <w:r>
        <w:rPr>
          <w:b/>
          <w:bCs/>
        </w:rPr>
        <w:t>Approccio sistemico</w:t>
      </w:r>
      <w:r>
        <w:t xml:space="preserve"> (principio </w:t>
      </w:r>
      <w:proofErr w:type="gramStart"/>
      <w:r>
        <w:t>6</w:t>
      </w:r>
      <w:proofErr w:type="gramEnd"/>
      <w:r>
        <w:t xml:space="preserve"> del TQM): </w:t>
      </w:r>
      <w:r>
        <w:rPr>
          <w:highlight w:val="cyan"/>
        </w:rPr>
        <w:t>gestire i processi correlati come un unico sistema</w:t>
      </w:r>
      <w:r>
        <w:t xml:space="preserve"> → contribuisce a efficacia ed efficienza. - </w:t>
      </w:r>
      <w:r>
        <w:rPr>
          <w:b/>
          <w:bCs/>
        </w:rPr>
        <w:t>Informazioni documentate</w:t>
      </w:r>
      <w:r>
        <w:t xml:space="preserve"> (principio </w:t>
      </w:r>
      <w:proofErr w:type="gramStart"/>
      <w:r>
        <w:t>8</w:t>
      </w:r>
      <w:proofErr w:type="gramEnd"/>
      <w:r>
        <w:t xml:space="preserve"> del TQM, </w:t>
      </w:r>
      <w:r>
        <w:lastRenderedPageBreak/>
        <w:t xml:space="preserve">decisioni su dati di fatto): </w:t>
      </w:r>
      <w:r>
        <w:rPr>
          <w:highlight w:val="cyan"/>
        </w:rPr>
        <w:t>servono a standardizzare il processo e a dare evidenza che è stato svolto come pianificato</w:t>
      </w:r>
      <w:r>
        <w:t xml:space="preserve">. - </w:t>
      </w:r>
      <w:r>
        <w:rPr>
          <w:b/>
          <w:bCs/>
        </w:rPr>
        <w:t>Mission vs Vision</w:t>
      </w:r>
      <w:r>
        <w:t xml:space="preserve">: </w:t>
      </w:r>
      <w:r>
        <w:rPr>
          <w:highlight w:val="cyan"/>
        </w:rPr>
        <w:t xml:space="preserve">la </w:t>
      </w:r>
      <w:r>
        <w:rPr>
          <w:i/>
          <w:iCs/>
          <w:highlight w:val="cyan"/>
        </w:rPr>
        <w:t>mission</w:t>
      </w:r>
      <w:r>
        <w:rPr>
          <w:highlight w:val="cyan"/>
        </w:rPr>
        <w:t xml:space="preserve"> è perché l’organizzazione esiste; la </w:t>
      </w:r>
      <w:r>
        <w:rPr>
          <w:i/>
          <w:iCs/>
          <w:highlight w:val="cyan"/>
        </w:rPr>
        <w:t>vision</w:t>
      </w:r>
      <w:r>
        <w:rPr>
          <w:highlight w:val="cyan"/>
        </w:rPr>
        <w:t xml:space="preserve"> è cosa vuole diventare e come vuole essere percepita</w:t>
      </w:r>
      <w:r>
        <w:t>. - ISO 9004 e successo durevole: oltre ai requisiti minimi della 9001, propone pianificazione di lungo periodo, rapporti di reciproco beneficio con le parti interessate, anticipazione dei bisogni futuri e miglioramento continuo.</w:t>
      </w:r>
      <w:bookmarkEnd w:id="22"/>
      <w:bookmarkEnd w:id="28"/>
    </w:p>
    <w:p w14:paraId="7A6AC1CA" w14:textId="5B9422D9" w:rsidR="00373FB0" w:rsidRPr="00CB2BC3" w:rsidRDefault="00000000" w:rsidP="009602FE">
      <w:pPr>
        <w:pStyle w:val="Corpotesto"/>
      </w:pPr>
      <w:r>
        <w:pict w14:anchorId="5505D39D">
          <v:rect id="_x0000_s1058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</w:p>
    <w:p w14:paraId="49444CDD" w14:textId="77777777" w:rsidR="0030121E" w:rsidRPr="00892866" w:rsidRDefault="0030121E" w:rsidP="0030121E">
      <w:pPr>
        <w:pStyle w:val="Titolo1"/>
      </w:pPr>
      <w:bookmarkStart w:id="29" w:name="modulo-5-sistemi-qualità-2"/>
      <w:r>
        <w:t>Modulo 5 — Sistemi Qualità 2</w:t>
      </w:r>
    </w:p>
    <w:p w14:paraId="73E8E5F3" w14:textId="77777777" w:rsidR="0030121E" w:rsidRPr="00CB2BC3" w:rsidRDefault="00000000" w:rsidP="0030121E">
      <w:r>
        <w:pict w14:anchorId="14D743CE">
          <v:rect id="_x0000_s1057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</w:p>
    <w:p w14:paraId="48CA95EF" w14:textId="77777777" w:rsidR="0030121E" w:rsidRPr="00892866" w:rsidRDefault="0030121E" w:rsidP="0030121E">
      <w:pPr>
        <w:pStyle w:val="Titolo2"/>
      </w:pPr>
      <w:r>
        <w:t>Capitolo 5 — Leadership</w:t>
      </w:r>
    </w:p>
    <w:p w14:paraId="1EE6D901" w14:textId="77777777" w:rsidR="0030121E" w:rsidRPr="00892866" w:rsidRDefault="0030121E" w:rsidP="0030121E">
      <w:pPr>
        <w:pStyle w:val="Titolo3"/>
        <w:rPr>
          <w:sz w:val="28"/>
          <w:szCs w:val="28"/>
        </w:rPr>
      </w:pPr>
      <w:bookmarkStart w:id="30" w:name="leadership-e-impegno"/>
      <w:r>
        <w:rPr>
          <w:sz w:val="28"/>
          <w:szCs w:val="28"/>
        </w:rPr>
        <w:t>5.1 Leadership e impegno</w:t>
      </w:r>
    </w:p>
    <w:p w14:paraId="191FB36A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b/>
          <w:bCs/>
        </w:rPr>
        <w:t>Alta direzione</w:t>
      </w:r>
      <w:r>
        <w:t xml:space="preserve"> = </w:t>
      </w:r>
      <w:r>
        <w:rPr>
          <w:highlight w:val="cyan"/>
        </w:rPr>
        <w:t>Capo/Manager + gruppo/Management</w:t>
      </w:r>
      <w:r>
        <w:t xml:space="preserve">. </w:t>
      </w:r>
      <w:r>
        <w:rPr>
          <w:highlight w:val="cyan"/>
        </w:rPr>
        <w:t>Deve dimostrare leadership e impegno verso il SGQ</w:t>
      </w:r>
      <w:r>
        <w:t>: assumersi la responsabilità dell’efficacia, definire politica e obiettivi, promuovere l’approccio per processi e il Risk-Based Thinking, promuovere il miglioramento, formare il personale.</w:t>
      </w:r>
    </w:p>
    <w:p w14:paraId="703297E3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b/>
          <w:bCs/>
        </w:rPr>
        <w:t>Requisiti del manager</w:t>
      </w:r>
      <w:r>
        <w:t xml:space="preserve">: </w:t>
      </w:r>
      <w:r>
        <w:rPr>
          <w:i/>
          <w:iCs/>
          <w:highlight w:val="cyan"/>
        </w:rPr>
        <w:t>professionali</w:t>
      </w:r>
      <w:r>
        <w:t xml:space="preserve"> (competenze tecniche, capacità gestionali) e </w:t>
      </w:r>
      <w:r>
        <w:rPr>
          <w:i/>
          <w:iCs/>
          <w:highlight w:val="cyan"/>
        </w:rPr>
        <w:t>personali</w:t>
      </w:r>
      <w:r>
        <w:t xml:space="preserve"> (predisposizione al cambiamento, accettazione del rischio, gestione dei conflitti). Il manager deve saper coinvolgere il personale e valutare i suggerimenti migliorativi. </w:t>
      </w:r>
    </w:p>
    <w:p w14:paraId="5FF9CA03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b/>
          <w:bCs/>
        </w:rPr>
        <w:t>RGQ</w:t>
      </w:r>
      <w:r>
        <w:t xml:space="preserve"> (Responsabile Gestione Qualità): figura di staff interna, </w:t>
      </w:r>
      <w:r>
        <w:rPr>
          <w:highlight w:val="cyan"/>
        </w:rPr>
        <w:t>braccio destro dell’Alta Direzione. Esegue gli audit interni, riporta l’andamento del SGQ</w:t>
      </w:r>
      <w:r>
        <w:t xml:space="preserve">, verifica il mantenimento degli standard, si interfaccia con il cliente e le parti interessate per l’applicazione della norma. </w:t>
      </w:r>
      <w:r>
        <w:rPr>
          <w:i/>
          <w:iCs/>
        </w:rPr>
        <w:t>(Rischio RBT:</w:t>
      </w:r>
      <w:r>
        <w:t xml:space="preserve"> con l’RGQ viene meno il principio di indipendenza dell’auditor, perché RGQ gestisce sia SGQ che audit interni</w:t>
      </w:r>
      <w:bookmarkEnd w:id="30"/>
      <w:r>
        <w:t>).</w:t>
      </w:r>
    </w:p>
    <w:p w14:paraId="0CC7BA52" w14:textId="77777777" w:rsidR="0030121E" w:rsidRPr="00892866" w:rsidRDefault="00892866" w:rsidP="00892866">
      <w:pPr>
        <w:pStyle w:val="Titolo3"/>
        <w:tabs>
          <w:tab w:val="num" w:pos="0"/>
        </w:tabs>
        <w:rPr>
          <w:sz w:val="28"/>
          <w:szCs w:val="28"/>
        </w:rPr>
      </w:pPr>
      <w:bookmarkStart w:id="31" w:name="politica-per-la-qualità"/>
      <w:r>
        <w:rPr>
          <w:sz w:val="28"/>
          <w:szCs w:val="28"/>
        </w:rPr>
        <w:t>5.2 Politica per la qualità</w:t>
      </w:r>
    </w:p>
    <w:p w14:paraId="65439E79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b/>
          <w:bCs/>
        </w:rPr>
        <w:t>Politica per la qualità</w:t>
      </w:r>
      <w:r>
        <w:t xml:space="preserve"> = </w:t>
      </w:r>
      <w:r>
        <w:rPr>
          <w:highlight w:val="cyan"/>
        </w:rPr>
        <w:t>indirizzi e impegni dell’organizzazione per fornire prodotti/servizi coerenti con clienti e parti interessate</w:t>
      </w:r>
      <w:r>
        <w:t xml:space="preserve">. Deve essere adatta agli scopi, orientata alla soddisfazione del cliente, coinvolgere le parti interessate e sostenere il miglioramento continuo. </w:t>
      </w:r>
      <w:r>
        <w:rPr>
          <w:highlight w:val="cyan"/>
        </w:rPr>
        <w:t>È il riferimento per definire e riesaminare gli obiettivi</w:t>
      </w:r>
      <w:r>
        <w:t xml:space="preserve">; va diffusa, compresa, resa disponibile, comunicata, riesaminata e messa in pratica. </w:t>
      </w:r>
    </w:p>
    <w:p w14:paraId="6E237B1F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b/>
          <w:bCs/>
        </w:rPr>
        <w:t>Obiettivi</w:t>
      </w:r>
      <w:r>
        <w:t>:</w:t>
      </w:r>
    </w:p>
    <w:p w14:paraId="62373511" w14:textId="77777777" w:rsidR="0030121E" w:rsidRPr="00CB2BC3" w:rsidRDefault="0030121E" w:rsidP="0030121E">
      <w:pPr>
        <w:pStyle w:val="Compact"/>
        <w:numPr>
          <w:ilvl w:val="1"/>
          <w:numId w:val="35"/>
        </w:numPr>
      </w:pPr>
      <w:r>
        <w:rPr>
          <w:b/>
          <w:bCs/>
          <w:i/>
          <w:iCs/>
        </w:rPr>
        <w:t>Generali</w:t>
      </w:r>
      <w:r>
        <w:t xml:space="preserve"> — </w:t>
      </w:r>
      <w:r>
        <w:rPr>
          <w:highlight w:val="cyan"/>
        </w:rPr>
        <w:t>affermazione di principi teorici, fissati dalla direzione</w:t>
      </w:r>
      <w:r>
        <w:t>.</w:t>
      </w:r>
    </w:p>
    <w:p w14:paraId="7AFBC116" w14:textId="77777777" w:rsidR="0030121E" w:rsidRPr="00CB2BC3" w:rsidRDefault="0030121E" w:rsidP="0030121E">
      <w:pPr>
        <w:pStyle w:val="Compact"/>
        <w:numPr>
          <w:ilvl w:val="1"/>
          <w:numId w:val="35"/>
        </w:numPr>
      </w:pPr>
      <w:r>
        <w:rPr>
          <w:b/>
          <w:bCs/>
          <w:i/>
          <w:iCs/>
        </w:rPr>
        <w:t>SMART</w:t>
      </w:r>
      <w:r>
        <w:t xml:space="preserve"> — </w:t>
      </w:r>
      <w:r>
        <w:rPr>
          <w:highlight w:val="cyan"/>
        </w:rPr>
        <w:t xml:space="preserve">Specifici, Misurabili, </w:t>
      </w:r>
      <w:proofErr w:type="spellStart"/>
      <w:r>
        <w:rPr>
          <w:highlight w:val="cyan"/>
        </w:rPr>
        <w:t>Affordable</w:t>
      </w:r>
      <w:proofErr w:type="spellEnd"/>
      <w:r>
        <w:rPr>
          <w:highlight w:val="cyan"/>
        </w:rPr>
        <w:t>/realizzabili, Realistici, Time-</w:t>
      </w:r>
      <w:proofErr w:type="spellStart"/>
      <w:r>
        <w:rPr>
          <w:highlight w:val="cyan"/>
        </w:rPr>
        <w:t>scheduled</w:t>
      </w:r>
      <w:proofErr w:type="spellEnd"/>
      <w:r>
        <w:t>: costituiscono il Piano di Miglioramento fissato nel Riesame della Direzione.</w:t>
      </w:r>
    </w:p>
    <w:p w14:paraId="272B691F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b/>
          <w:bCs/>
        </w:rPr>
        <w:t>Strategia</w:t>
      </w:r>
      <w:r>
        <w:t xml:space="preserve"> = </w:t>
      </w:r>
      <w:r>
        <w:rPr>
          <w:highlight w:val="cyan"/>
        </w:rPr>
        <w:t>determina le attività per raggiungere gli obiettivi</w:t>
      </w:r>
      <w:r>
        <w:t>.</w:t>
      </w:r>
      <w:bookmarkEnd w:id="31"/>
    </w:p>
    <w:p w14:paraId="476C951D" w14:textId="77777777" w:rsidR="0030121E" w:rsidRPr="00892866" w:rsidRDefault="0030121E" w:rsidP="00892866">
      <w:pPr>
        <w:pStyle w:val="Titolo3"/>
        <w:tabs>
          <w:tab w:val="num" w:pos="0"/>
        </w:tabs>
        <w:rPr>
          <w:sz w:val="28"/>
          <w:szCs w:val="28"/>
        </w:rPr>
      </w:pPr>
      <w:bookmarkStart w:id="32" w:name="ruoli-responsabilità-e-autorità"/>
      <w:r>
        <w:rPr>
          <w:sz w:val="28"/>
          <w:szCs w:val="28"/>
        </w:rPr>
        <w:lastRenderedPageBreak/>
        <w:t>5.3 Ruoli, responsabilità e autorità</w:t>
      </w:r>
    </w:p>
    <w:p w14:paraId="2BA164FC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highlight w:val="cyan"/>
        </w:rPr>
        <w:t>Vanno assegnati e comunicati</w:t>
      </w:r>
      <w:r>
        <w:t>.</w:t>
      </w:r>
    </w:p>
    <w:p w14:paraId="69ABDD27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b/>
          <w:bCs/>
        </w:rPr>
        <w:t>Organigramma</w:t>
      </w:r>
      <w:r>
        <w:t xml:space="preserve"> = </w:t>
      </w:r>
      <w:r>
        <w:rPr>
          <w:highlight w:val="cyan"/>
        </w:rPr>
        <w:t>rappresentazione grafica della struttura organizzativa</w:t>
      </w:r>
      <w:r>
        <w:t xml:space="preserve"> (Direzione Generale → Direttore Amministrativo/Commerciale/Produzione). Si può costruire per persone </w:t>
      </w:r>
      <w:r>
        <w:rPr>
          <w:i/>
          <w:iCs/>
        </w:rPr>
        <w:t>vs</w:t>
      </w:r>
      <w:r>
        <w:t xml:space="preserve"> mansioni/funzioni: l’importante è non mescolare i due criteri.</w:t>
      </w:r>
    </w:p>
    <w:p w14:paraId="0150178F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b/>
          <w:bCs/>
        </w:rPr>
        <w:t>Struttura organizzativa</w:t>
      </w:r>
      <w:r>
        <w:t xml:space="preserve">: </w:t>
      </w:r>
      <w:r>
        <w:rPr>
          <w:highlight w:val="cyan"/>
        </w:rPr>
        <w:t>vertice strategico</w:t>
      </w:r>
      <w:r>
        <w:t xml:space="preserve"> (organo volitivo) → </w:t>
      </w:r>
      <w:r>
        <w:rPr>
          <w:highlight w:val="cyan"/>
        </w:rPr>
        <w:t>linea intermedia</w:t>
      </w:r>
      <w:r>
        <w:t xml:space="preserve"> (organo direttivo) → </w:t>
      </w:r>
      <w:r>
        <w:rPr>
          <w:highlight w:val="cyan"/>
        </w:rPr>
        <w:t>nucleo operativo</w:t>
      </w:r>
      <w:r>
        <w:t xml:space="preserve"> (organo esecutivo); con organi di controllo e consultivi di staff.</w:t>
      </w:r>
    </w:p>
    <w:p w14:paraId="78A47C1F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b/>
          <w:bCs/>
        </w:rPr>
        <w:t>Mansionario</w:t>
      </w:r>
      <w:r>
        <w:t xml:space="preserve"> = </w:t>
      </w:r>
      <w:r>
        <w:rPr>
          <w:highlight w:val="cyan"/>
        </w:rPr>
        <w:t>insieme delle mansioni assegnate ai lavoratori</w:t>
      </w:r>
      <w:r>
        <w:t>.</w:t>
      </w:r>
      <w:bookmarkEnd w:id="32"/>
    </w:p>
    <w:p w14:paraId="593AB3C9" w14:textId="77777777" w:rsidR="0030121E" w:rsidRPr="00892866" w:rsidRDefault="0030121E" w:rsidP="00892866">
      <w:pPr>
        <w:pStyle w:val="Titolo3"/>
        <w:tabs>
          <w:tab w:val="num" w:pos="0"/>
        </w:tabs>
        <w:rPr>
          <w:sz w:val="28"/>
          <w:szCs w:val="28"/>
        </w:rPr>
      </w:pPr>
      <w:r>
        <w:rPr>
          <w:sz w:val="28"/>
          <w:szCs w:val="28"/>
        </w:rPr>
        <w:t>Gli 8 principi e novità 2015</w:t>
      </w:r>
    </w:p>
    <w:p w14:paraId="3C101B6F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b/>
          <w:bCs/>
        </w:rPr>
        <w:t>Gli 8 principi richiamati dalla 9001 si raggruppano in</w:t>
      </w:r>
      <w:r>
        <w:t>:</w:t>
      </w:r>
    </w:p>
    <w:p w14:paraId="50F93D00" w14:textId="77777777" w:rsidR="0030121E" w:rsidRPr="00CB2BC3" w:rsidRDefault="0030121E" w:rsidP="0030121E">
      <w:pPr>
        <w:pStyle w:val="Compact"/>
        <w:numPr>
          <w:ilvl w:val="1"/>
          <w:numId w:val="35"/>
        </w:numPr>
      </w:pPr>
      <w:r>
        <w:rPr>
          <w:b/>
          <w:bCs/>
        </w:rPr>
        <w:t>4 sulle Persone</w:t>
      </w:r>
      <w:r>
        <w:t xml:space="preserve">: </w:t>
      </w:r>
      <w:r>
        <w:rPr>
          <w:highlight w:val="cyan"/>
        </w:rPr>
        <w:t>1) focus sul cliente, 2) leadership, 3) coinvolgimento del personale, 4) rapporti di reciproco beneficio con i fornitori</w:t>
      </w:r>
      <w:r>
        <w:t>.</w:t>
      </w:r>
    </w:p>
    <w:p w14:paraId="04A61460" w14:textId="77777777" w:rsidR="0030121E" w:rsidRPr="00CB2BC3" w:rsidRDefault="0030121E" w:rsidP="0030121E">
      <w:pPr>
        <w:pStyle w:val="Compact"/>
        <w:numPr>
          <w:ilvl w:val="1"/>
          <w:numId w:val="35"/>
        </w:numPr>
      </w:pPr>
      <w:r>
        <w:rPr>
          <w:b/>
          <w:bCs/>
        </w:rPr>
        <w:t>4 sui Sistemi</w:t>
      </w:r>
      <w:r>
        <w:t xml:space="preserve">: </w:t>
      </w:r>
      <w:r>
        <w:rPr>
          <w:highlight w:val="cyan"/>
        </w:rPr>
        <w:t>5) approccio per processi, 6) approccio sistemico alla gestione, 7) miglioramento continuo, 8) decisioni basate su dati di fatto</w:t>
      </w:r>
      <w:r>
        <w:t>.</w:t>
      </w:r>
    </w:p>
    <w:p w14:paraId="72686583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t>Novità 2015 vs 2008: non è più necessario individuare un Rappresentante della Direzione formale.</w:t>
      </w:r>
    </w:p>
    <w:bookmarkStart w:id="33" w:name="capitolo-5-leadership"/>
    <w:bookmarkStart w:id="34" w:name="gli-8-principi-e-novità-2015"/>
    <w:p w14:paraId="2A0B4D19" w14:textId="77777777" w:rsidR="0030121E" w:rsidRPr="00CB2BC3" w:rsidRDefault="00000000" w:rsidP="0030121E">
      <w:r>
        <w:pict w14:anchorId="2150F873">
          <v:rect id="_x0000_s1056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  <w:bookmarkEnd w:id="33"/>
      <w:bookmarkEnd w:id="34"/>
    </w:p>
    <w:p w14:paraId="0E999153" w14:textId="77777777" w:rsidR="0030121E" w:rsidRPr="00CB2BC3" w:rsidRDefault="0030121E" w:rsidP="00892866">
      <w:pPr>
        <w:pStyle w:val="Titolo3"/>
        <w:tabs>
          <w:tab w:val="num" w:pos="0"/>
        </w:tabs>
        <w:rPr>
          <w:b w:val="0"/>
          <w:bCs w:val="0"/>
        </w:rPr>
      </w:pPr>
      <w:r>
        <w:rPr>
          <w:sz w:val="28"/>
          <w:szCs w:val="28"/>
        </w:rPr>
        <w:t>Comunicazione (argomento trasversale)</w:t>
      </w:r>
    </w:p>
    <w:p w14:paraId="3468DD71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b/>
          <w:bCs/>
        </w:rPr>
        <w:t>Comunicazione</w:t>
      </w:r>
      <w:r>
        <w:t xml:space="preserve"> = </w:t>
      </w:r>
      <w:r>
        <w:rPr>
          <w:highlight w:val="cyan"/>
        </w:rPr>
        <w:t>processo di scambio di informazioni e influenzamento tra due o più persone in un contesto. Ha sempre un obiettivo</w:t>
      </w:r>
      <w:r>
        <w:t xml:space="preserve"> (trasmettere, farsi capire, ricevere, orientare, gestire conflitti, convincere, motivare).</w:t>
      </w:r>
    </w:p>
    <w:p w14:paraId="36040C0C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proofErr w:type="gramStart"/>
      <w:r>
        <w:rPr>
          <w:b/>
          <w:bCs/>
        </w:rPr>
        <w:t>5</w:t>
      </w:r>
      <w:proofErr w:type="gramEnd"/>
      <w:r>
        <w:rPr>
          <w:b/>
          <w:bCs/>
        </w:rPr>
        <w:t xml:space="preserve"> principi</w:t>
      </w:r>
      <w:r>
        <w:t>:</w:t>
      </w:r>
    </w:p>
    <w:p w14:paraId="544EF396" w14:textId="77777777" w:rsidR="0030121E" w:rsidRPr="00CB2BC3" w:rsidRDefault="0030121E" w:rsidP="0030121E">
      <w:pPr>
        <w:pStyle w:val="Compact"/>
        <w:numPr>
          <w:ilvl w:val="1"/>
          <w:numId w:val="37"/>
        </w:numPr>
      </w:pPr>
      <w:r>
        <w:rPr>
          <w:highlight w:val="cyan"/>
        </w:rPr>
        <w:t>Non si può non comunicare</w:t>
      </w:r>
      <w:r>
        <w:t xml:space="preserve"> (anche silenzio e postura comunicano).</w:t>
      </w:r>
    </w:p>
    <w:p w14:paraId="73E3A96A" w14:textId="77777777" w:rsidR="0030121E" w:rsidRPr="00CB2BC3" w:rsidRDefault="0030121E" w:rsidP="0030121E">
      <w:pPr>
        <w:pStyle w:val="Compact"/>
        <w:numPr>
          <w:ilvl w:val="1"/>
          <w:numId w:val="36"/>
        </w:numPr>
      </w:pPr>
      <w:r>
        <w:rPr>
          <w:highlight w:val="cyan"/>
        </w:rPr>
        <w:t>Ogni messaggio ha contenuto</w:t>
      </w:r>
      <w:r>
        <w:t xml:space="preserve"> (“cosa” si dice) e relazione (“come” si dice).</w:t>
      </w:r>
    </w:p>
    <w:p w14:paraId="7FE7453C" w14:textId="77777777" w:rsidR="0030121E" w:rsidRPr="00CB2BC3" w:rsidRDefault="0030121E" w:rsidP="0030121E">
      <w:pPr>
        <w:pStyle w:val="Compact"/>
        <w:numPr>
          <w:ilvl w:val="1"/>
          <w:numId w:val="36"/>
        </w:numPr>
      </w:pPr>
      <w:r>
        <w:rPr>
          <w:highlight w:val="cyan"/>
        </w:rPr>
        <w:t>La qualità della relazione dipende dalla punteggiatura</w:t>
      </w:r>
      <w:r>
        <w:t xml:space="preserve"> (l’ordine con cui si interpretano gli eventi comunicativi).</w:t>
      </w:r>
    </w:p>
    <w:p w14:paraId="66580734" w14:textId="77777777" w:rsidR="0030121E" w:rsidRPr="00CB2BC3" w:rsidRDefault="0030121E" w:rsidP="0030121E">
      <w:pPr>
        <w:pStyle w:val="Compact"/>
        <w:numPr>
          <w:ilvl w:val="1"/>
          <w:numId w:val="36"/>
        </w:numPr>
      </w:pPr>
      <w:r>
        <w:rPr>
          <w:highlight w:val="cyan"/>
        </w:rPr>
        <w:t>Si comunica sul piano verbale, non verbale</w:t>
      </w:r>
      <w:r>
        <w:t xml:space="preserve"> (sguardo, gestualità, postura) e </w:t>
      </w:r>
      <w:proofErr w:type="spellStart"/>
      <w:r>
        <w:rPr>
          <w:highlight w:val="cyan"/>
        </w:rPr>
        <w:t>paraverbale</w:t>
      </w:r>
      <w:proofErr w:type="spellEnd"/>
      <w:r>
        <w:t xml:space="preserve"> (voce, tono, ritmo, pause, volume).</w:t>
      </w:r>
    </w:p>
    <w:p w14:paraId="5A195232" w14:textId="77777777" w:rsidR="0030121E" w:rsidRPr="00CB2BC3" w:rsidRDefault="0030121E" w:rsidP="0030121E">
      <w:pPr>
        <w:pStyle w:val="Compact"/>
        <w:numPr>
          <w:ilvl w:val="1"/>
          <w:numId w:val="36"/>
        </w:numPr>
      </w:pPr>
      <w:r>
        <w:rPr>
          <w:highlight w:val="cyan"/>
        </w:rPr>
        <w:t>Gli scambi sono simmetrici</w:t>
      </w:r>
      <w:r>
        <w:t xml:space="preserve"> (interlocutori alla pari) </w:t>
      </w:r>
      <w:r>
        <w:rPr>
          <w:highlight w:val="cyan"/>
        </w:rPr>
        <w:t>o complementari</w:t>
      </w:r>
      <w:r>
        <w:t xml:space="preserve"> (uno subordinato, es. manager/dipendente).</w:t>
      </w:r>
    </w:p>
    <w:p w14:paraId="18732F1E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b/>
          <w:bCs/>
        </w:rPr>
        <w:t>Stili comunicativi</w:t>
      </w:r>
      <w:r>
        <w:t xml:space="preserve">: </w:t>
      </w:r>
      <w:r>
        <w:rPr>
          <w:highlight w:val="cyan"/>
        </w:rPr>
        <w:t>passività</w:t>
      </w:r>
      <w:r>
        <w:t xml:space="preserve"> (evita il confronto), </w:t>
      </w:r>
      <w:r>
        <w:rPr>
          <w:highlight w:val="cyan"/>
        </w:rPr>
        <w:t>aggressività</w:t>
      </w:r>
      <w:r>
        <w:t xml:space="preserve"> (impone/attacca), </w:t>
      </w:r>
      <w:r>
        <w:rPr>
          <w:highlight w:val="cyan"/>
        </w:rPr>
        <w:t>assertività</w:t>
      </w:r>
      <w:r>
        <w:t xml:space="preserve"> (esprime con calma e chiarezza — via di mezzo).</w:t>
      </w:r>
    </w:p>
    <w:p w14:paraId="15E35B68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b/>
          <w:bCs/>
        </w:rPr>
        <w:t>Modello</w:t>
      </w:r>
      <w:r>
        <w:t xml:space="preserve">: </w:t>
      </w:r>
      <w:r>
        <w:rPr>
          <w:highlight w:val="cyan"/>
        </w:rPr>
        <w:t>l’emittente codifica le idee in un messaggio → canale → il ricevente decodifica → feedback</w:t>
      </w:r>
      <w:r>
        <w:t xml:space="preserve">. </w:t>
      </w:r>
    </w:p>
    <w:p w14:paraId="4E365F86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b/>
          <w:bCs/>
        </w:rPr>
        <w:t>Feedback</w:t>
      </w:r>
      <w:r>
        <w:t xml:space="preserve"> = </w:t>
      </w:r>
      <w:r>
        <w:rPr>
          <w:highlight w:val="cyan"/>
        </w:rPr>
        <w:t>risposta del ricevente</w:t>
      </w:r>
      <w:r>
        <w:t>; rispecchia l’efficacia della comunicazione, che non sta nelle intenzioni dell’emittente ma nella risposta che ottiene. Feedback efficace: su comportamenti specifici e fatti concreti (non giudica né umilia la persona).</w:t>
      </w:r>
    </w:p>
    <w:p w14:paraId="16FB811B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b/>
          <w:bCs/>
        </w:rPr>
        <w:lastRenderedPageBreak/>
        <w:t>Comunicazione efficace</w:t>
      </w:r>
      <w:r>
        <w:t xml:space="preserve">: </w:t>
      </w:r>
      <w:r>
        <w:rPr>
          <w:highlight w:val="cyan"/>
        </w:rPr>
        <w:t>l’emittente vuole comunicare</w:t>
      </w:r>
      <w:r>
        <w:t xml:space="preserve">, sa cosa, formula un messaggio chiaro e sceglie il canale adatto; </w:t>
      </w:r>
      <w:r>
        <w:rPr>
          <w:highlight w:val="cyan"/>
        </w:rPr>
        <w:t>il ricevente sa ascoltare e decodificare</w:t>
      </w:r>
      <w:r>
        <w:t>. Le componenti (verbale/non verbale/</w:t>
      </w:r>
      <w:proofErr w:type="spellStart"/>
      <w:r>
        <w:t>paraverbale</w:t>
      </w:r>
      <w:proofErr w:type="spellEnd"/>
      <w:r>
        <w:t>) devono essere coerenti.</w:t>
      </w:r>
    </w:p>
    <w:p w14:paraId="4994B217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b/>
          <w:bCs/>
        </w:rPr>
        <w:t>Interferenze/barriere</w:t>
      </w:r>
      <w:r>
        <w:t xml:space="preserve">: </w:t>
      </w:r>
      <w:r>
        <w:rPr>
          <w:highlight w:val="cyan"/>
        </w:rPr>
        <w:t>relative al messaggio</w:t>
      </w:r>
      <w:r>
        <w:t xml:space="preserve"> (rumori, troppi messaggi simultanei, monotonia, scarsa chiarezza) </w:t>
      </w:r>
      <w:r>
        <w:rPr>
          <w:highlight w:val="cyan"/>
        </w:rPr>
        <w:t>e relative agli interlocutori</w:t>
      </w:r>
      <w:r>
        <w:t xml:space="preserve"> (pregiudizi/stereotipi, emozioni, distrazioni, ricordi, valori, ipotesi, esperienze passate). Evitare risposte impenetrabili, di interruzione, irrilevanti.</w:t>
      </w:r>
    </w:p>
    <w:p w14:paraId="6880E88E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b/>
          <w:bCs/>
        </w:rPr>
        <w:t>Competenze comunicative del manager</w:t>
      </w:r>
      <w:r>
        <w:t>: efficacia interpersonale, gestione di gruppi/riunioni, parlare in pubblico, persuasione/negoziazione, leadership, gestione dei conflitti.</w:t>
      </w:r>
    </w:p>
    <w:p w14:paraId="34668560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b/>
          <w:bCs/>
        </w:rPr>
        <w:t>Lavoro di gruppo e gestione dei conflitti</w:t>
      </w:r>
      <w:r>
        <w:t>: presentare il problema → ascoltare l’altro → esporre il proprio punto di vista → tenere conto di entrambi → trovare un accordo → valutare alternative → scegliere la soluzione migliore → piano d’azione → attuarlo → valutarne l’esito.</w:t>
      </w:r>
    </w:p>
    <w:p w14:paraId="5C177C08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b/>
          <w:bCs/>
        </w:rPr>
        <w:t>Tipi di comunicazione</w:t>
      </w:r>
      <w:r>
        <w:t xml:space="preserve">: </w:t>
      </w:r>
      <w:r>
        <w:rPr>
          <w:highlight w:val="cyan"/>
        </w:rPr>
        <w:t>a 1 via</w:t>
      </w:r>
      <w:r>
        <w:t xml:space="preserve"> (nessun feedback, più rapida, un’autorità che comanda, destinatari numerosi, messaggio semplice) </w:t>
      </w:r>
      <w:r>
        <w:rPr>
          <w:i/>
          <w:iCs/>
        </w:rPr>
        <w:t>vs</w:t>
      </w:r>
      <w:r>
        <w:t xml:space="preserve"> </w:t>
      </w:r>
      <w:r>
        <w:rPr>
          <w:highlight w:val="cyan"/>
        </w:rPr>
        <w:t>a 2 vie</w:t>
      </w:r>
      <w:r>
        <w:t xml:space="preserve"> (con feedback, meno malintesi ma più confronto/conflitto, messaggio complesso, pochi destinatari).</w:t>
      </w:r>
    </w:p>
    <w:p w14:paraId="0BFE15AD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b/>
          <w:bCs/>
        </w:rPr>
        <w:t>Riunione efficace</w:t>
      </w:r>
      <w:r>
        <w:t xml:space="preserve">: </w:t>
      </w:r>
      <w:r>
        <w:rPr>
          <w:highlight w:val="cyan"/>
        </w:rPr>
        <w:t>ha uno scopo preciso</w:t>
      </w:r>
      <w:r>
        <w:t>. Finalità: decisionale, analitica, di coordinamento, formativa/informativa, motivazionale. Consigli: iniziare con una domanda (non con la propria opinione), coinvolgere i silenziosi, frenare i dominanti (“squali”), permettere rischi comunicativi, assumere talvolta la posizione contraria, scendere in profondità, sostenere gli “avvocati trasparenti”.</w:t>
      </w:r>
    </w:p>
    <w:p w14:paraId="2D924E5D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b/>
          <w:bCs/>
        </w:rPr>
        <w:t>Tipologie</w:t>
      </w:r>
      <w:r>
        <w:t xml:space="preserve">: </w:t>
      </w:r>
      <w:r>
        <w:rPr>
          <w:highlight w:val="cyan"/>
        </w:rPr>
        <w:t>interna</w:t>
      </w:r>
      <w:r>
        <w:t xml:space="preserve"> (tra membri interni: riunioni, bacheca, email) </w:t>
      </w:r>
      <w:r>
        <w:rPr>
          <w:i/>
          <w:iCs/>
        </w:rPr>
        <w:t>vs</w:t>
      </w:r>
      <w:r>
        <w:t xml:space="preserve"> </w:t>
      </w:r>
      <w:r>
        <w:rPr>
          <w:highlight w:val="cyan"/>
        </w:rPr>
        <w:t>esterna</w:t>
      </w:r>
      <w:r>
        <w:t xml:space="preserve"> (verso soggetti esterni: web, cataloghi).</w:t>
      </w:r>
    </w:p>
    <w:bookmarkStart w:id="35" w:name="comunicazione-argomento-trasversale"/>
    <w:p w14:paraId="60D50852" w14:textId="77777777" w:rsidR="0030121E" w:rsidRPr="00CB2BC3" w:rsidRDefault="00000000" w:rsidP="0030121E">
      <w:r>
        <w:pict w14:anchorId="3A58199C">
          <v:rect id="_x0000_s1055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  <w:bookmarkEnd w:id="35"/>
    </w:p>
    <w:p w14:paraId="67AD1704" w14:textId="77777777" w:rsidR="0030121E" w:rsidRPr="00892866" w:rsidRDefault="0030121E" w:rsidP="00892866">
      <w:pPr>
        <w:pStyle w:val="Titolo3"/>
        <w:tabs>
          <w:tab w:val="num" w:pos="0"/>
        </w:tabs>
        <w:rPr>
          <w:sz w:val="28"/>
          <w:szCs w:val="28"/>
        </w:rPr>
      </w:pPr>
      <w:r>
        <w:rPr>
          <w:sz w:val="28"/>
          <w:szCs w:val="28"/>
        </w:rPr>
        <w:t>Capitolo 6 — Gestione delle risorse</w:t>
      </w:r>
    </w:p>
    <w:p w14:paraId="7658DD80" w14:textId="77777777" w:rsidR="0030121E" w:rsidRPr="00CB2BC3" w:rsidRDefault="0030121E" w:rsidP="0030121E">
      <w:pPr>
        <w:pStyle w:val="FirstParagraph"/>
      </w:pPr>
      <w:r>
        <w:rPr>
          <w:i/>
          <w:iCs/>
        </w:rPr>
        <w:t>(struttura 2008; nella 2015 confluisce nel capitolo 7 — Supporto)</w:t>
      </w:r>
    </w:p>
    <w:p w14:paraId="4A366AAA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b/>
          <w:bCs/>
        </w:rPr>
        <w:t>6.1 Messa a disposizione delle risorse</w:t>
      </w:r>
      <w:r>
        <w:t xml:space="preserve"> → </w:t>
      </w:r>
      <w:r>
        <w:rPr>
          <w:highlight w:val="cyan"/>
        </w:rPr>
        <w:t>coinvolgimento e motivazione del personale</w:t>
      </w:r>
      <w:r>
        <w:t xml:space="preserve"> (principio del TQM).</w:t>
      </w:r>
    </w:p>
    <w:p w14:paraId="24A6DCA4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b/>
          <w:bCs/>
        </w:rPr>
        <w:t>6.2 Risorse umane</w:t>
      </w:r>
      <w:r>
        <w:t xml:space="preserve"> → </w:t>
      </w:r>
      <w:r>
        <w:rPr>
          <w:highlight w:val="cyan"/>
        </w:rPr>
        <w:t>competenza, formazione</w:t>
      </w:r>
      <w:r>
        <w:t xml:space="preserve"> (istruzione) </w:t>
      </w:r>
      <w:r>
        <w:rPr>
          <w:highlight w:val="cyan"/>
        </w:rPr>
        <w:t>e addestramento del personale</w:t>
      </w:r>
      <w:r>
        <w:t>.</w:t>
      </w:r>
    </w:p>
    <w:p w14:paraId="306B5419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b/>
          <w:bCs/>
        </w:rPr>
        <w:t>6.3 Infrastrutture</w:t>
      </w:r>
      <w:r>
        <w:t xml:space="preserve"> → </w:t>
      </w:r>
      <w:r>
        <w:rPr>
          <w:highlight w:val="cyan"/>
        </w:rPr>
        <w:t>edifici, spazi di lavoro, attrezzature, trasporti, hardware/software, servizi di supporto</w:t>
      </w:r>
      <w:r>
        <w:t>.</w:t>
      </w:r>
    </w:p>
    <w:p w14:paraId="208618BA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b/>
          <w:bCs/>
        </w:rPr>
        <w:t>6.4 Ambiente di l</w:t>
      </w:r>
      <w:r>
        <w:t xml:space="preserve">avoro → </w:t>
      </w:r>
      <w:r>
        <w:rPr>
          <w:highlight w:val="cyan"/>
        </w:rPr>
        <w:t>fattori umani</w:t>
      </w:r>
      <w:r>
        <w:t xml:space="preserve"> (ergonomia, coinvolgimento), </w:t>
      </w:r>
      <w:r>
        <w:rPr>
          <w:highlight w:val="cyan"/>
        </w:rPr>
        <w:t>fisici</w:t>
      </w:r>
      <w:r>
        <w:t xml:space="preserve"> (rumore, calore, igiene, illuminazione), </w:t>
      </w:r>
      <w:r>
        <w:rPr>
          <w:highlight w:val="cyan"/>
        </w:rPr>
        <w:t>psicologici</w:t>
      </w:r>
      <w:r>
        <w:t xml:space="preserve"> (carico di lavoro, stress): influenzano il benessere del personale.</w:t>
      </w:r>
    </w:p>
    <w:p w14:paraId="536F62A6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b/>
          <w:bCs/>
        </w:rPr>
        <w:t>Altre risorse</w:t>
      </w:r>
      <w:r>
        <w:t xml:space="preserve">: </w:t>
      </w:r>
      <w:r>
        <w:rPr>
          <w:highlight w:val="cyan"/>
        </w:rPr>
        <w:t>economiche</w:t>
      </w:r>
      <w:r>
        <w:t xml:space="preserve"> (budget, finanziamenti), </w:t>
      </w:r>
      <w:r>
        <w:rPr>
          <w:highlight w:val="cyan"/>
        </w:rPr>
        <w:t>fornitori e partner</w:t>
      </w:r>
      <w:r>
        <w:t xml:space="preserve">, </w:t>
      </w:r>
      <w:r>
        <w:rPr>
          <w:highlight w:val="cyan"/>
        </w:rPr>
        <w:t>informazioni/conoscenza/tecnologia</w:t>
      </w:r>
      <w:r>
        <w:t>.</w:t>
      </w:r>
    </w:p>
    <w:p w14:paraId="7328544A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b/>
          <w:bCs/>
        </w:rPr>
        <w:t>Gestire le risorse</w:t>
      </w:r>
      <w:r>
        <w:t xml:space="preserve"> = </w:t>
      </w:r>
      <w:r>
        <w:rPr>
          <w:highlight w:val="cyan"/>
        </w:rPr>
        <w:t>assicurarsi che siano adeguate, disponibili, controllate e migliorate nel tempo</w:t>
      </w:r>
      <w:r>
        <w:t xml:space="preserve"> (tramite audit, monitoraggi, autovalutazioni, riesame della direzione).</w:t>
      </w:r>
    </w:p>
    <w:p w14:paraId="6D36A0DA" w14:textId="77777777" w:rsidR="0030121E" w:rsidRPr="00892866" w:rsidRDefault="0030121E" w:rsidP="00892866">
      <w:pPr>
        <w:pStyle w:val="Titolo3"/>
        <w:tabs>
          <w:tab w:val="num" w:pos="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Strumenti di controllo e Riesame della Direzione</w:t>
      </w:r>
    </w:p>
    <w:p w14:paraId="63C5C2B4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b/>
          <w:bCs/>
        </w:rPr>
        <w:t>Strumenti per il controllo</w:t>
      </w:r>
      <w:r>
        <w:t>:</w:t>
      </w:r>
    </w:p>
    <w:p w14:paraId="34CB68CE" w14:textId="77777777" w:rsidR="0030121E" w:rsidRPr="00CB2BC3" w:rsidRDefault="0030121E" w:rsidP="0030121E">
      <w:pPr>
        <w:pStyle w:val="Compact"/>
        <w:numPr>
          <w:ilvl w:val="1"/>
          <w:numId w:val="35"/>
        </w:numPr>
      </w:pPr>
      <w:r>
        <w:rPr>
          <w:b/>
          <w:bCs/>
        </w:rPr>
        <w:t>sui processi</w:t>
      </w:r>
      <w:r>
        <w:t xml:space="preserve"> → </w:t>
      </w:r>
      <w:r>
        <w:rPr>
          <w:highlight w:val="cyan"/>
        </w:rPr>
        <w:t>audit, check-list, sorveglianza, monitoraggi e analisi</w:t>
      </w:r>
      <w:r>
        <w:t>;</w:t>
      </w:r>
    </w:p>
    <w:p w14:paraId="7A807283" w14:textId="77777777" w:rsidR="0030121E" w:rsidRPr="00CB2BC3" w:rsidRDefault="0030121E" w:rsidP="0030121E">
      <w:pPr>
        <w:pStyle w:val="Compact"/>
        <w:numPr>
          <w:ilvl w:val="1"/>
          <w:numId w:val="35"/>
        </w:numPr>
      </w:pPr>
      <w:r>
        <w:rPr>
          <w:b/>
          <w:bCs/>
        </w:rPr>
        <w:t>sul sistema</w:t>
      </w:r>
      <w:r>
        <w:t xml:space="preserve"> → </w:t>
      </w:r>
      <w:r>
        <w:rPr>
          <w:highlight w:val="cyan"/>
        </w:rPr>
        <w:t>Riesame della Direzione</w:t>
      </w:r>
      <w:r>
        <w:t>.</w:t>
      </w:r>
    </w:p>
    <w:p w14:paraId="2CB5F6F7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b/>
          <w:bCs/>
        </w:rPr>
        <w:t>Riesame della Direzione</w:t>
      </w:r>
      <w:r>
        <w:t xml:space="preserve"> = </w:t>
      </w:r>
      <w:r>
        <w:rPr>
          <w:highlight w:val="cyan"/>
        </w:rPr>
        <w:t>riunione che riesamina il SGQ</w:t>
      </w:r>
      <w:r>
        <w:t xml:space="preserve"> per assicurarne l’efficacia.</w:t>
      </w:r>
    </w:p>
    <w:p w14:paraId="5BD02072" w14:textId="77777777" w:rsidR="0030121E" w:rsidRPr="00CB2BC3" w:rsidRDefault="0030121E" w:rsidP="0030121E">
      <w:pPr>
        <w:pStyle w:val="Compact"/>
        <w:numPr>
          <w:ilvl w:val="1"/>
          <w:numId w:val="35"/>
        </w:numPr>
      </w:pPr>
      <w:r>
        <w:rPr>
          <w:b/>
          <w:bCs/>
          <w:i/>
          <w:iCs/>
        </w:rPr>
        <w:t>Elementi in ingresso</w:t>
      </w:r>
      <w:r>
        <w:rPr>
          <w:i/>
          <w:iCs/>
        </w:rPr>
        <w:t>:</w:t>
      </w:r>
      <w:r>
        <w:t xml:space="preserve"> </w:t>
      </w:r>
      <w:r>
        <w:rPr>
          <w:highlight w:val="cyan"/>
        </w:rPr>
        <w:t>risultati di audit, autovalutazione, benchmarking</w:t>
      </w:r>
      <w:r>
        <w:t>.</w:t>
      </w:r>
    </w:p>
    <w:p w14:paraId="5A799087" w14:textId="77777777" w:rsidR="0030121E" w:rsidRPr="00CB2BC3" w:rsidRDefault="0030121E" w:rsidP="0030121E">
      <w:pPr>
        <w:pStyle w:val="Compact"/>
        <w:numPr>
          <w:ilvl w:val="1"/>
          <w:numId w:val="35"/>
        </w:numPr>
      </w:pPr>
      <w:r>
        <w:rPr>
          <w:b/>
          <w:bCs/>
          <w:i/>
          <w:iCs/>
        </w:rPr>
        <w:t>Elementi in uscita</w:t>
      </w:r>
      <w:r>
        <w:rPr>
          <w:i/>
          <w:iCs/>
        </w:rPr>
        <w:t>:</w:t>
      </w:r>
      <w:r>
        <w:t xml:space="preserve"> </w:t>
      </w:r>
      <w:r>
        <w:rPr>
          <w:highlight w:val="cyan"/>
        </w:rPr>
        <w:t>opportunità/obiettivi di miglioramento</w:t>
      </w:r>
      <w:r>
        <w:t>, modifiche alla politica e agli obiettivi per la qualità.</w:t>
      </w:r>
    </w:p>
    <w:p w14:paraId="04AA6017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b/>
          <w:bCs/>
        </w:rPr>
        <w:t>Efficacia</w:t>
      </w:r>
      <w:r>
        <w:t xml:space="preserve"> (</w:t>
      </w:r>
      <w:r>
        <w:rPr>
          <w:highlight w:val="cyan"/>
        </w:rPr>
        <w:t>raggiungere gli obiettivi</w:t>
      </w:r>
      <w:r>
        <w:t xml:space="preserve">) </w:t>
      </w:r>
      <w:r>
        <w:rPr>
          <w:i/>
          <w:iCs/>
        </w:rPr>
        <w:t>vs</w:t>
      </w:r>
      <w:r>
        <w:t xml:space="preserve"> </w:t>
      </w:r>
      <w:r>
        <w:rPr>
          <w:b/>
          <w:bCs/>
        </w:rPr>
        <w:t>Efficienza</w:t>
      </w:r>
      <w:r>
        <w:t xml:space="preserve"> (</w:t>
      </w:r>
      <w:r>
        <w:rPr>
          <w:highlight w:val="cyan"/>
        </w:rPr>
        <w:t>raggiungerli con il miglior uso delle risorse</w:t>
      </w:r>
      <w:r>
        <w:t>, senza sprechi di tempo/costi/materiali).</w:t>
      </w:r>
    </w:p>
    <w:bookmarkStart w:id="36" w:name="capitolo-6-gestione-delle-risorse"/>
    <w:bookmarkStart w:id="37" w:name="Xf08f33a09ea939e357292d5e841345edb33b526"/>
    <w:p w14:paraId="17350C0E" w14:textId="77777777" w:rsidR="0030121E" w:rsidRPr="00CB2BC3" w:rsidRDefault="00000000" w:rsidP="0030121E">
      <w:r>
        <w:pict w14:anchorId="60DB5A99">
          <v:rect id="_x0000_s1054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  <w:bookmarkEnd w:id="36"/>
      <w:bookmarkEnd w:id="37"/>
    </w:p>
    <w:p w14:paraId="691C2351" w14:textId="77777777" w:rsidR="0030121E" w:rsidRPr="00892866" w:rsidRDefault="0030121E" w:rsidP="00892866">
      <w:pPr>
        <w:pStyle w:val="Titolo3"/>
        <w:tabs>
          <w:tab w:val="num" w:pos="0"/>
        </w:tabs>
        <w:rPr>
          <w:sz w:val="28"/>
          <w:szCs w:val="28"/>
        </w:rPr>
      </w:pPr>
      <w:bookmarkStart w:id="38" w:name="X291702b0b00715cc0dac0dfdb6b3e64c9c8f21d"/>
      <w:r>
        <w:rPr>
          <w:sz w:val="28"/>
          <w:szCs w:val="28"/>
        </w:rPr>
        <w:t>Capitolo 7 — Supporto / Informazione documentata</w:t>
      </w:r>
    </w:p>
    <w:p w14:paraId="7783B709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highlight w:val="cyan"/>
        </w:rPr>
        <w:t>La documentazione è uno strumento operativo per descrivere, controllare e dimostrare le attività</w:t>
      </w:r>
      <w:r>
        <w:t>; rende i processi chiari, tracciabili, controllabili e migliorabili. Deve aggiungere valore al processo, con linguaggio chiaro e semplice.</w:t>
      </w:r>
    </w:p>
    <w:p w14:paraId="1311C198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b/>
          <w:bCs/>
        </w:rPr>
        <w:t>Classificazione</w:t>
      </w:r>
      <w:r>
        <w:t>:</w:t>
      </w:r>
    </w:p>
    <w:p w14:paraId="2B3C984C" w14:textId="77777777" w:rsidR="0030121E" w:rsidRPr="00CB2BC3" w:rsidRDefault="0030121E" w:rsidP="0030121E">
      <w:pPr>
        <w:pStyle w:val="Compact"/>
        <w:numPr>
          <w:ilvl w:val="1"/>
          <w:numId w:val="35"/>
        </w:numPr>
      </w:pPr>
      <w:r>
        <w:rPr>
          <w:b/>
          <w:bCs/>
        </w:rPr>
        <w:t>per funzione</w:t>
      </w:r>
      <w:r>
        <w:t xml:space="preserve">: </w:t>
      </w:r>
      <w:r>
        <w:rPr>
          <w:highlight w:val="cyan"/>
        </w:rPr>
        <w:t>documenti prescrittivi</w:t>
      </w:r>
      <w:r>
        <w:t xml:space="preserve"> (regole, procedure, responsabilità, modalità) </w:t>
      </w:r>
      <w:r>
        <w:rPr>
          <w:i/>
          <w:iCs/>
        </w:rPr>
        <w:t>vs</w:t>
      </w:r>
      <w:r>
        <w:t xml:space="preserve"> </w:t>
      </w:r>
      <w:r>
        <w:rPr>
          <w:highlight w:val="cyan"/>
        </w:rPr>
        <w:t>descrittivi/dimostrativi</w:t>
      </w:r>
      <w:r>
        <w:t xml:space="preserve"> (descrivono il sistema o danno evidenza delle attività);</w:t>
      </w:r>
    </w:p>
    <w:p w14:paraId="4EAB584D" w14:textId="77777777" w:rsidR="0030121E" w:rsidRPr="00CB2BC3" w:rsidRDefault="0030121E" w:rsidP="0030121E">
      <w:pPr>
        <w:pStyle w:val="Compact"/>
        <w:numPr>
          <w:ilvl w:val="1"/>
          <w:numId w:val="35"/>
        </w:numPr>
      </w:pPr>
      <w:r>
        <w:rPr>
          <w:b/>
          <w:bCs/>
        </w:rPr>
        <w:t>per origine</w:t>
      </w:r>
      <w:r>
        <w:t xml:space="preserve">: </w:t>
      </w:r>
      <w:r>
        <w:rPr>
          <w:highlight w:val="cyan"/>
        </w:rPr>
        <w:t>interna</w:t>
      </w:r>
      <w:r>
        <w:t xml:space="preserve"> (prodotti dall’organizzazione) </w:t>
      </w:r>
      <w:r>
        <w:rPr>
          <w:i/>
          <w:iCs/>
        </w:rPr>
        <w:t>vs</w:t>
      </w:r>
      <w:r>
        <w:t xml:space="preserve"> </w:t>
      </w:r>
      <w:r>
        <w:rPr>
          <w:highlight w:val="cyan"/>
        </w:rPr>
        <w:t>esterna</w:t>
      </w:r>
      <w:r>
        <w:t xml:space="preserve"> (clienti, fornitori, norme, leggi).</w:t>
      </w:r>
    </w:p>
    <w:p w14:paraId="1E6760C2" w14:textId="77777777" w:rsidR="0030121E" w:rsidRPr="00CB2BC3" w:rsidRDefault="0030121E" w:rsidP="0030121E">
      <w:pPr>
        <w:pStyle w:val="FirstParagraph"/>
      </w:pPr>
      <w:r>
        <w:t>Differenza 2008 → 2015. La 2008 distingueva documenti (cosa fare / come) e registrazioni (cosa è stato fatto). La 2015 supera la distinzione e parla di informazioni documentate, di due tipi:</w:t>
      </w:r>
    </w:p>
    <w:p w14:paraId="7EF7C3B2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b/>
          <w:bCs/>
        </w:rPr>
        <w:t>da MANTENERE</w:t>
      </w:r>
      <w:r>
        <w:t xml:space="preserve"> (</w:t>
      </w:r>
      <w:r>
        <w:rPr>
          <w:highlight w:val="cyan"/>
        </w:rPr>
        <w:t>prescrittiva</w:t>
      </w:r>
      <w:r>
        <w:t>) = i “</w:t>
      </w:r>
      <w:r>
        <w:rPr>
          <w:highlight w:val="cyan"/>
        </w:rPr>
        <w:t>documenti</w:t>
      </w:r>
      <w:r>
        <w:t>” → politica, procedure, manuali, moduli non compilati; Necessaria per assicurare pianificazione, funzionamento e controllo dei processi.</w:t>
      </w:r>
    </w:p>
    <w:p w14:paraId="021B7FF9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b/>
          <w:bCs/>
        </w:rPr>
        <w:t>da CONSERVARE</w:t>
      </w:r>
      <w:r>
        <w:t xml:space="preserve"> (</w:t>
      </w:r>
      <w:r>
        <w:rPr>
          <w:highlight w:val="cyan"/>
        </w:rPr>
        <w:t>descrittiva</w:t>
      </w:r>
      <w:r>
        <w:t>) = le “</w:t>
      </w:r>
      <w:r>
        <w:rPr>
          <w:highlight w:val="cyan"/>
        </w:rPr>
        <w:t>registrazioni</w:t>
      </w:r>
      <w:r>
        <w:t>” → prove delle attività svolte e dei risultati: moduli compilati, politica e obiettivi, manuale della qualità, procedure di sistema/tecniche.</w:t>
      </w:r>
    </w:p>
    <w:p w14:paraId="7409341E" w14:textId="77777777" w:rsidR="0030121E" w:rsidRPr="00CB2BC3" w:rsidRDefault="0030121E" w:rsidP="0030121E">
      <w:pPr>
        <w:pStyle w:val="Testodelblocco"/>
      </w:pPr>
      <w:r>
        <w:t xml:space="preserve">Esempio chiave: un modulo vuoto è un documento </w:t>
      </w:r>
      <w:r>
        <w:rPr>
          <w:i/>
          <w:iCs/>
        </w:rPr>
        <w:t>da mantenere</w:t>
      </w:r>
      <w:r>
        <w:t xml:space="preserve">; lo stesso modulo compilato è una registrazione </w:t>
      </w:r>
      <w:r>
        <w:rPr>
          <w:i/>
          <w:iCs/>
        </w:rPr>
        <w:t>da conservare</w:t>
      </w:r>
      <w:r>
        <w:t>.</w:t>
      </w:r>
    </w:p>
    <w:p w14:paraId="202159BD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b/>
          <w:bCs/>
        </w:rPr>
        <w:t>Gerarchia documentale</w:t>
      </w:r>
      <w:r>
        <w:t xml:space="preserve"> (2008): politica e obiettivi → manuale della qualità → procedure di sistema → istruzioni operative → moduli/documenti di lavoro → registrazioni.</w:t>
      </w:r>
    </w:p>
    <w:p w14:paraId="3A7C755D" w14:textId="77777777" w:rsidR="0030121E" w:rsidRPr="00892866" w:rsidRDefault="00892866" w:rsidP="00892866">
      <w:pPr>
        <w:pStyle w:val="Titolo3"/>
        <w:tabs>
          <w:tab w:val="num" w:pos="0"/>
        </w:tabs>
        <w:rPr>
          <w:sz w:val="28"/>
          <w:szCs w:val="28"/>
        </w:rPr>
      </w:pPr>
      <w:bookmarkStart w:id="39" w:name="manuale-della-qualità"/>
      <w:r>
        <w:rPr>
          <w:sz w:val="28"/>
          <w:szCs w:val="28"/>
        </w:rPr>
        <w:lastRenderedPageBreak/>
        <w:t>7.1 Manuale della Qualità</w:t>
      </w:r>
    </w:p>
    <w:p w14:paraId="53AF321F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b/>
          <w:bCs/>
        </w:rPr>
        <w:t>Elementi fondamentali</w:t>
      </w:r>
      <w:r>
        <w:t xml:space="preserve">: </w:t>
      </w:r>
      <w:r>
        <w:rPr>
          <w:highlight w:val="cyan"/>
        </w:rPr>
        <w:t>campo di applicazione del SGQ</w:t>
      </w:r>
      <w:r>
        <w:t xml:space="preserve"> (con esclusioni), </w:t>
      </w:r>
      <w:r>
        <w:rPr>
          <w:highlight w:val="cyan"/>
        </w:rPr>
        <w:t>descrizione sommaria dei processi, organigramma, matrice delle responsabilità</w:t>
      </w:r>
      <w:r>
        <w:t xml:space="preserve"> (un responsabile per processo).</w:t>
      </w:r>
    </w:p>
    <w:p w14:paraId="0322B817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highlight w:val="cyan"/>
        </w:rPr>
        <w:t>Serve a dare evidenza alle parti interessate</w:t>
      </w:r>
      <w:r>
        <w:t xml:space="preserve"> (interne ed esterne) </w:t>
      </w:r>
      <w:r>
        <w:rPr>
          <w:highlight w:val="cyan"/>
        </w:rPr>
        <w:t>di come l’azienda soddisfa i requisiti</w:t>
      </w:r>
      <w:r>
        <w:t>. Può diventare pubblico (richiesto dal cliente a scopi contrattuali) → per questo non scende nei dettagli dei processi.</w:t>
      </w:r>
    </w:p>
    <w:p w14:paraId="65FD0240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b/>
          <w:bCs/>
        </w:rPr>
        <w:t>Struttura</w:t>
      </w:r>
      <w:r>
        <w:t xml:space="preserve">: </w:t>
      </w:r>
      <w:r>
        <w:rPr>
          <w:highlight w:val="cyan"/>
        </w:rPr>
        <w:t>divisione in sezioni con riferimento ai capitoli della norma</w:t>
      </w:r>
      <w:r>
        <w:t>. Nella 2008 era obbligatorio; nella 2015 no, ma può essere mantenuto se utile</w:t>
      </w:r>
      <w:bookmarkEnd w:id="39"/>
      <w:r>
        <w:t>.</w:t>
      </w:r>
    </w:p>
    <w:p w14:paraId="364C3E6C" w14:textId="77777777" w:rsidR="0030121E" w:rsidRPr="00892866" w:rsidRDefault="00892866" w:rsidP="00892866">
      <w:pPr>
        <w:pStyle w:val="Titolo3"/>
        <w:tabs>
          <w:tab w:val="num" w:pos="0"/>
        </w:tabs>
        <w:rPr>
          <w:sz w:val="28"/>
          <w:szCs w:val="28"/>
        </w:rPr>
      </w:pPr>
      <w:bookmarkStart w:id="40" w:name="procedura-e-piano-della-qualità"/>
      <w:r>
        <w:rPr>
          <w:sz w:val="28"/>
          <w:szCs w:val="28"/>
        </w:rPr>
        <w:t>7.2 Procedura e Piano della Qualità</w:t>
      </w:r>
    </w:p>
    <w:p w14:paraId="260398AB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b/>
          <w:bCs/>
        </w:rPr>
        <w:t>Procedura</w:t>
      </w:r>
      <w:r>
        <w:t xml:space="preserve"> = </w:t>
      </w:r>
      <w:r>
        <w:rPr>
          <w:highlight w:val="cyan"/>
        </w:rPr>
        <w:t>descrizione dettagliata di come svolgere un processo</w:t>
      </w:r>
      <w:r>
        <w:t xml:space="preserve">: scopo, campo di applicazione, chi/cosa/quando/dove/come, strumenti, come controllare e registrare. </w:t>
      </w:r>
      <w:r>
        <w:rPr>
          <w:highlight w:val="cyan"/>
        </w:rPr>
        <w:t>È privata</w:t>
      </w:r>
      <w:r>
        <w:t xml:space="preserve"> (descrive il know-how aziendale). Nella 2008 erano obbligatorie 6 procedure documentate (gestione documenti, gestione registrazioni, non conformità, audit interni, azioni correttive, azioni preventive); nella 2015 si scelgono liberamente quelle che servono.</w:t>
      </w:r>
    </w:p>
    <w:p w14:paraId="73048D05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b/>
          <w:bCs/>
        </w:rPr>
        <w:t>Piano della Qualità</w:t>
      </w:r>
      <w:r>
        <w:t xml:space="preserve"> = </w:t>
      </w:r>
      <w:r>
        <w:rPr>
          <w:highlight w:val="cyan"/>
        </w:rPr>
        <w:t>documento riferito a uno specifico progetto/prodotto/processo/contratto, con le procedure, le risorse e le responsabilità da applicare</w:t>
      </w:r>
      <w:r>
        <w:t>.</w:t>
      </w:r>
      <w:bookmarkEnd w:id="40"/>
    </w:p>
    <w:p w14:paraId="10A2DBCD" w14:textId="77777777" w:rsidR="0030121E" w:rsidRPr="00892866" w:rsidRDefault="00892866" w:rsidP="00892866">
      <w:pPr>
        <w:pStyle w:val="Titolo3"/>
        <w:tabs>
          <w:tab w:val="num" w:pos="0"/>
        </w:tabs>
        <w:rPr>
          <w:sz w:val="28"/>
          <w:szCs w:val="28"/>
        </w:rPr>
      </w:pPr>
      <w:bookmarkStart w:id="41" w:name="Xc188c932d7293ee5a1e9b93840147ed5af02739"/>
      <w:r>
        <w:rPr>
          <w:sz w:val="28"/>
          <w:szCs w:val="28"/>
        </w:rPr>
        <w:t>7.3 Gestione e controllo della documentazione</w:t>
      </w:r>
    </w:p>
    <w:p w14:paraId="52D6F900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b/>
          <w:bCs/>
        </w:rPr>
        <w:t>Gestione</w:t>
      </w:r>
      <w:r>
        <w:t xml:space="preserve">: </w:t>
      </w:r>
      <w:r>
        <w:rPr>
          <w:highlight w:val="cyan"/>
        </w:rPr>
        <w:t>documenti interni</w:t>
      </w:r>
      <w:r>
        <w:t xml:space="preserve"> → preparazione, redazione, verifica, approvazione, identificazione univoca (sigla + indice di revisione), distribuzione controllata, archiviazione, aggiornamento, distruzione delle copie superate. </w:t>
      </w:r>
      <w:r>
        <w:rPr>
          <w:highlight w:val="cyan"/>
        </w:rPr>
        <w:t>Documenti esterni</w:t>
      </w:r>
      <w:r>
        <w:t xml:space="preserve"> → registrazione, analisi, approvazione all’uso, distribuzione, aggiornamento, conservazione.</w:t>
      </w:r>
    </w:p>
    <w:p w14:paraId="1C1B5150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b/>
          <w:bCs/>
        </w:rPr>
        <w:t>Distribuzione controllata</w:t>
      </w:r>
      <w:r>
        <w:t xml:space="preserve">: </w:t>
      </w:r>
      <w:r>
        <w:rPr>
          <w:highlight w:val="cyan"/>
        </w:rPr>
        <w:t>dimostra che l’ultima versione valida è disponibile a tutte le funzioni</w:t>
      </w:r>
      <w:r>
        <w:t>; evita l’uso di documenti vecchi/non validi o di versioni rivisitate.</w:t>
      </w:r>
    </w:p>
    <w:p w14:paraId="5F0B3B82" w14:textId="77777777" w:rsidR="0030121E" w:rsidRPr="00CB2BC3" w:rsidRDefault="0030121E" w:rsidP="0030121E">
      <w:pPr>
        <w:pStyle w:val="Compact"/>
        <w:numPr>
          <w:ilvl w:val="0"/>
          <w:numId w:val="35"/>
        </w:numPr>
      </w:pPr>
      <w:r>
        <w:rPr>
          <w:b/>
          <w:bCs/>
        </w:rPr>
        <w:t>Informazioni documentate</w:t>
      </w:r>
      <w:r>
        <w:t xml:space="preserve"> (2015): più libertà — </w:t>
      </w:r>
      <w:r>
        <w:rPr>
          <w:highlight w:val="cyan"/>
        </w:rPr>
        <w:t>documentare solo ciò che è realmente necessario</w:t>
      </w:r>
      <w:r>
        <w:t>, soprattutto le attività critiche che sono parte della conoscenza organizzativa.</w:t>
      </w:r>
    </w:p>
    <w:p w14:paraId="4CF6D513" w14:textId="77777777" w:rsidR="00A45D9E" w:rsidRDefault="0030121E" w:rsidP="00990F5F">
      <w:pPr>
        <w:pStyle w:val="Compact"/>
        <w:numPr>
          <w:ilvl w:val="0"/>
          <w:numId w:val="35"/>
        </w:numPr>
      </w:pPr>
      <w:r>
        <w:rPr>
          <w:b/>
          <w:bCs/>
        </w:rPr>
        <w:t>Valutazione della documentazione</w:t>
      </w:r>
      <w:r>
        <w:t xml:space="preserve">: periodica, tramite audit interni, valutazioni di terza parte; </w:t>
      </w:r>
      <w:r>
        <w:rPr>
          <w:highlight w:val="cyan"/>
        </w:rPr>
        <w:t>verifica non la semplice presenza dei documenti ma la loro utilità reale per gestire i processi</w:t>
      </w:r>
      <w:r>
        <w:t>, dimostrare la conformità e favorire il miglioramento.</w:t>
      </w:r>
      <w:bookmarkEnd w:id="29"/>
      <w:bookmarkEnd w:id="38"/>
      <w:bookmarkEnd w:id="41"/>
    </w:p>
    <w:bookmarkStart w:id="42" w:name="X6633405acf7fec5f609cfb1af0dbf6797add2af"/>
    <w:p w14:paraId="3459147E" w14:textId="77777777" w:rsidR="00A92F0C" w:rsidRPr="00233D47" w:rsidRDefault="00000000" w:rsidP="00A92F0C">
      <w:r>
        <w:pict w14:anchorId="555FCFAA">
          <v:rect id="Rettangolo 2143035799" o:spid="_x0000_s1053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  <w:bookmarkEnd w:id="42"/>
    </w:p>
    <w:p w14:paraId="5873F067" w14:textId="77777777" w:rsidR="00A92F0C" w:rsidRPr="00902AF9" w:rsidRDefault="00A92F0C" w:rsidP="00A92F0C">
      <w:pPr>
        <w:pStyle w:val="Titolo1"/>
      </w:pPr>
      <w:r>
        <w:t xml:space="preserve">Capitolo 8 — Attività Operative </w:t>
      </w:r>
      <w:r>
        <w:rPr>
          <w:i/>
          <w:iCs/>
        </w:rPr>
        <w:t>(completamento Modulo 5)</w:t>
      </w:r>
    </w:p>
    <w:p w14:paraId="72DA75F5" w14:textId="77777777" w:rsidR="00A92F0C" w:rsidRPr="00902AF9" w:rsidRDefault="00A92F0C" w:rsidP="00A92F0C">
      <w:pPr>
        <w:pStyle w:val="FirstParagraph"/>
      </w:pPr>
      <w:r>
        <w:rPr>
          <w:b/>
          <w:bCs/>
        </w:rPr>
        <w:t>Attività operative</w:t>
      </w:r>
      <w:r>
        <w:t xml:space="preserve"> = </w:t>
      </w:r>
      <w:r>
        <w:rPr>
          <w:highlight w:val="cyan"/>
        </w:rPr>
        <w:t>tutti i processi che portano alla realizzazione del prodotto/servizio</w:t>
      </w:r>
      <w:r>
        <w:t>. Si articola in 6 punti (8.1-8.6).</w:t>
      </w:r>
    </w:p>
    <w:p w14:paraId="41EC3057" w14:textId="77777777" w:rsidR="00A92F0C" w:rsidRPr="00902AF9" w:rsidRDefault="00A92F0C" w:rsidP="00A92F0C">
      <w:pPr>
        <w:pStyle w:val="Titolo2"/>
      </w:pPr>
      <w:bookmarkStart w:id="43" w:name="pianificazione-della-realizzazione"/>
      <w:r>
        <w:lastRenderedPageBreak/>
        <w:t>8.1 Pianificazione della realizzazione</w:t>
      </w:r>
    </w:p>
    <w:p w14:paraId="1D0748A8" w14:textId="77777777" w:rsidR="00A92F0C" w:rsidRPr="00902AF9" w:rsidRDefault="00A92F0C" w:rsidP="00A92F0C">
      <w:pPr>
        <w:pStyle w:val="FirstParagraph"/>
      </w:pPr>
      <w:r>
        <w:rPr>
          <w:highlight w:val="cyan"/>
        </w:rPr>
        <w:t>Individuare in anticipo</w:t>
      </w:r>
      <w:r>
        <w:t xml:space="preserve"> i processi, le sequenze, le risorse e le azioni necessarie a soddisfare gli obiettivi della qualità, i requisiti; quindi in sintesi </w:t>
      </w:r>
      <w:r>
        <w:rPr>
          <w:highlight w:val="cyan"/>
        </w:rPr>
        <w:t>tutto ciò che concerne il prodotto</w:t>
      </w:r>
      <w:r>
        <w:t>.</w:t>
      </w:r>
      <w:bookmarkEnd w:id="43"/>
    </w:p>
    <w:p w14:paraId="3B7B20B6" w14:textId="77777777" w:rsidR="00A92F0C" w:rsidRPr="00902AF9" w:rsidRDefault="00A92F0C" w:rsidP="00A92F0C">
      <w:pPr>
        <w:pStyle w:val="Titolo2"/>
      </w:pPr>
      <w:bookmarkStart w:id="44" w:name="processi-relativi-al-cliente"/>
      <w:r>
        <w:t>8.2 Processi relativi al cliente</w:t>
      </w:r>
    </w:p>
    <w:p w14:paraId="7DA2AB1F" w14:textId="77777777" w:rsidR="00A92F0C" w:rsidRPr="00902AF9" w:rsidRDefault="00A92F0C" w:rsidP="00A92F0C">
      <w:pPr>
        <w:pStyle w:val="Compact"/>
        <w:numPr>
          <w:ilvl w:val="0"/>
          <w:numId w:val="39"/>
        </w:numPr>
      </w:pPr>
      <w:r>
        <w:rPr>
          <w:b/>
          <w:bCs/>
        </w:rPr>
        <w:t>Individuare i requisiti del prodotto</w:t>
      </w:r>
      <w:r>
        <w:t xml:space="preserve">: </w:t>
      </w:r>
      <w:r>
        <w:rPr>
          <w:i/>
          <w:iCs/>
          <w:highlight w:val="cyan"/>
        </w:rPr>
        <w:t>specificati</w:t>
      </w:r>
      <w:r>
        <w:rPr>
          <w:highlight w:val="cyan"/>
        </w:rPr>
        <w:t xml:space="preserve"> dal cliente</w:t>
      </w:r>
      <w:r>
        <w:t xml:space="preserve">, </w:t>
      </w:r>
      <w:r>
        <w:rPr>
          <w:i/>
          <w:iCs/>
          <w:highlight w:val="cyan"/>
        </w:rPr>
        <w:t>non specificati</w:t>
      </w:r>
      <w:r>
        <w:rPr>
          <w:highlight w:val="cyan"/>
        </w:rPr>
        <w:t xml:space="preserve"> dal cliente</w:t>
      </w:r>
      <w:r>
        <w:t xml:space="preserve"> (ma necessari all’uso), </w:t>
      </w:r>
      <w:r>
        <w:rPr>
          <w:i/>
          <w:iCs/>
          <w:highlight w:val="cyan"/>
        </w:rPr>
        <w:t>cogenti</w:t>
      </w:r>
      <w:r>
        <w:t xml:space="preserve"> (di legge).</w:t>
      </w:r>
    </w:p>
    <w:p w14:paraId="648BCFA0" w14:textId="77777777" w:rsidR="00A92F0C" w:rsidRPr="00902AF9" w:rsidRDefault="00A92F0C" w:rsidP="00A92F0C">
      <w:pPr>
        <w:pStyle w:val="Compact"/>
        <w:numPr>
          <w:ilvl w:val="1"/>
          <w:numId w:val="39"/>
        </w:numPr>
      </w:pPr>
      <w:r>
        <w:rPr>
          <w:i/>
          <w:iCs/>
        </w:rPr>
        <w:t>Novità 2015:</w:t>
      </w:r>
      <w:r>
        <w:t xml:space="preserve"> </w:t>
      </w:r>
      <w:r>
        <w:rPr>
          <w:highlight w:val="cyan"/>
        </w:rPr>
        <w:t>conta anche il post-vendita</w:t>
      </w:r>
      <w:r>
        <w:t xml:space="preserve"> (installazione, assistenza, reclami, fino allo smaltimento).</w:t>
      </w:r>
    </w:p>
    <w:p w14:paraId="62A927A2" w14:textId="77777777" w:rsidR="00A92F0C" w:rsidRPr="00902AF9" w:rsidRDefault="00A92F0C" w:rsidP="00A92F0C">
      <w:pPr>
        <w:pStyle w:val="Compact"/>
        <w:numPr>
          <w:ilvl w:val="0"/>
          <w:numId w:val="39"/>
        </w:numPr>
      </w:pPr>
      <w:r>
        <w:rPr>
          <w:b/>
          <w:bCs/>
        </w:rPr>
        <w:t>Riesame dei requisiti relativi al prodotto</w:t>
      </w:r>
      <w:r>
        <w:t xml:space="preserve"> (prima di impegnarsi con il cliente).</w:t>
      </w:r>
    </w:p>
    <w:p w14:paraId="0E624B05" w14:textId="77777777" w:rsidR="00A92F0C" w:rsidRPr="00902AF9" w:rsidRDefault="00A92F0C" w:rsidP="00A92F0C">
      <w:pPr>
        <w:pStyle w:val="Compact"/>
        <w:numPr>
          <w:ilvl w:val="0"/>
          <w:numId w:val="39"/>
        </w:numPr>
      </w:pPr>
      <w:r>
        <w:rPr>
          <w:b/>
          <w:bCs/>
        </w:rPr>
        <w:t>Comunicazione con il cliente</w:t>
      </w:r>
      <w:r>
        <w:t>.</w:t>
      </w:r>
    </w:p>
    <w:p w14:paraId="6BE4B822" w14:textId="77777777" w:rsidR="00A92F0C" w:rsidRPr="00902AF9" w:rsidRDefault="00A92F0C" w:rsidP="00A92F0C">
      <w:pPr>
        <w:pStyle w:val="Compact"/>
        <w:numPr>
          <w:ilvl w:val="0"/>
          <w:numId w:val="39"/>
        </w:numPr>
      </w:pPr>
      <w:r>
        <w:rPr>
          <w:b/>
          <w:bCs/>
        </w:rPr>
        <w:t>Catena cliente-fornitore interna</w:t>
      </w:r>
      <w:r>
        <w:t xml:space="preserve">: </w:t>
      </w:r>
      <w:r>
        <w:rPr>
          <w:highlight w:val="cyan"/>
        </w:rPr>
        <w:t xml:space="preserve">il cliente può essere </w:t>
      </w:r>
      <w:r>
        <w:rPr>
          <w:i/>
          <w:iCs/>
          <w:highlight w:val="cyan"/>
        </w:rPr>
        <w:t>esterno</w:t>
      </w:r>
      <w:r>
        <w:rPr>
          <w:highlight w:val="cyan"/>
        </w:rPr>
        <w:t xml:space="preserve"> o </w:t>
      </w:r>
      <w:r>
        <w:rPr>
          <w:i/>
          <w:iCs/>
          <w:highlight w:val="cyan"/>
        </w:rPr>
        <w:t>interno</w:t>
      </w:r>
      <w:r>
        <w:t xml:space="preserve"> (es. l’approvvigionamento è cliente interno della progettazione, a cui fornire la distinta base; i fornitori sono clienti interni dell’approvvigionamento, a cui fornire l’ordine).</w:t>
      </w:r>
      <w:bookmarkEnd w:id="44"/>
    </w:p>
    <w:p w14:paraId="4078EED5" w14:textId="77777777" w:rsidR="00A92F0C" w:rsidRPr="00902AF9" w:rsidRDefault="00A92F0C" w:rsidP="00A92F0C">
      <w:pPr>
        <w:pStyle w:val="Titolo2"/>
      </w:pPr>
      <w:bookmarkStart w:id="45" w:name="progettazione-e-sviluppo"/>
      <w:r>
        <w:t>8.3 Progettazione e sviluppo</w:t>
      </w:r>
    </w:p>
    <w:p w14:paraId="7A6F2C3B" w14:textId="77777777" w:rsidR="00A92F0C" w:rsidRPr="00902AF9" w:rsidRDefault="00A92F0C" w:rsidP="00A92F0C">
      <w:pPr>
        <w:pStyle w:val="Testodelblocco"/>
      </w:pPr>
      <w:r>
        <w:rPr>
          <w:b/>
          <w:bCs/>
        </w:rPr>
        <w:t>Progettazione ≠ progetto</w:t>
      </w:r>
      <w:r>
        <w:t xml:space="preserve">: </w:t>
      </w:r>
      <w:r>
        <w:rPr>
          <w:highlight w:val="cyan"/>
        </w:rPr>
        <w:t xml:space="preserve">la </w:t>
      </w:r>
      <w:r>
        <w:rPr>
          <w:i/>
          <w:iCs/>
          <w:highlight w:val="cyan"/>
        </w:rPr>
        <w:t>progettazione</w:t>
      </w:r>
      <w:r>
        <w:rPr>
          <w:highlight w:val="cyan"/>
        </w:rPr>
        <w:t xml:space="preserve"> è il processo</w:t>
      </w:r>
      <w:r>
        <w:t xml:space="preserve">, </w:t>
      </w:r>
      <w:r>
        <w:rPr>
          <w:highlight w:val="cyan"/>
        </w:rPr>
        <w:t xml:space="preserve">il </w:t>
      </w:r>
      <w:r>
        <w:rPr>
          <w:i/>
          <w:iCs/>
          <w:highlight w:val="cyan"/>
        </w:rPr>
        <w:t>progetto</w:t>
      </w:r>
      <w:r>
        <w:rPr>
          <w:highlight w:val="cyan"/>
        </w:rPr>
        <w:t xml:space="preserve"> è l’output</w:t>
      </w:r>
      <w:r>
        <w:t xml:space="preserve"> del processo.</w:t>
      </w:r>
    </w:p>
    <w:p w14:paraId="1600BEE2" w14:textId="77777777" w:rsidR="00A92F0C" w:rsidRPr="00902AF9" w:rsidRDefault="00A92F0C" w:rsidP="00A92F0C">
      <w:pPr>
        <w:pStyle w:val="Compact"/>
        <w:numPr>
          <w:ilvl w:val="0"/>
          <w:numId w:val="39"/>
        </w:numPr>
      </w:pPr>
      <w:r>
        <w:rPr>
          <w:b/>
          <w:bCs/>
        </w:rPr>
        <w:t>Input</w:t>
      </w:r>
      <w:r>
        <w:t xml:space="preserve">: </w:t>
      </w:r>
      <w:r>
        <w:rPr>
          <w:i/>
          <w:iCs/>
          <w:highlight w:val="cyan"/>
        </w:rPr>
        <w:t>esterni</w:t>
      </w:r>
      <w:r>
        <w:t xml:space="preserve"> (requisiti dei clienti, contrattuali, norme tecniche, benchmarking) e </w:t>
      </w:r>
      <w:r>
        <w:rPr>
          <w:i/>
          <w:iCs/>
          <w:highlight w:val="cyan"/>
        </w:rPr>
        <w:t>interni</w:t>
      </w:r>
      <w:r>
        <w:t xml:space="preserve"> (requisiti funzionali/prestazionali, competenze del personale, tecnologie).</w:t>
      </w:r>
    </w:p>
    <w:p w14:paraId="35A7A9DC" w14:textId="77777777" w:rsidR="00A92F0C" w:rsidRPr="00902AF9" w:rsidRDefault="00A92F0C" w:rsidP="00A92F0C">
      <w:pPr>
        <w:pStyle w:val="Compact"/>
        <w:numPr>
          <w:ilvl w:val="0"/>
          <w:numId w:val="39"/>
        </w:numPr>
      </w:pPr>
      <w:r>
        <w:rPr>
          <w:b/>
          <w:bCs/>
        </w:rPr>
        <w:t>Output</w:t>
      </w:r>
      <w:r>
        <w:t xml:space="preserve">: </w:t>
      </w:r>
      <w:r>
        <w:rPr>
          <w:highlight w:val="cyan"/>
        </w:rPr>
        <w:t>specifiche di materiali/processo/imballaggio-trasporto, istruzioni d’uso, informazioni per gli utilizzatori</w:t>
      </w:r>
      <w:r>
        <w:t>.</w:t>
      </w:r>
    </w:p>
    <w:p w14:paraId="7C2C3AE1" w14:textId="77777777" w:rsidR="00A92F0C" w:rsidRPr="00902AF9" w:rsidRDefault="00A92F0C" w:rsidP="00A92F0C">
      <w:pPr>
        <w:pStyle w:val="Compact"/>
        <w:numPr>
          <w:ilvl w:val="0"/>
          <w:numId w:val="39"/>
        </w:numPr>
      </w:pPr>
      <w:r>
        <w:rPr>
          <w:b/>
          <w:bCs/>
        </w:rPr>
        <w:t>Diagramma di Gantt</w:t>
      </w:r>
      <w:r>
        <w:t xml:space="preserve">: </w:t>
      </w:r>
      <w:r>
        <w:rPr>
          <w:highlight w:val="cyan"/>
        </w:rPr>
        <w:t>suddivisione della progettazione in fasi, al variare dell’arco temporale</w:t>
      </w:r>
      <w:r>
        <w:t xml:space="preserve"> del progetto.</w:t>
      </w:r>
    </w:p>
    <w:p w14:paraId="47DBC166" w14:textId="77777777" w:rsidR="00A92F0C" w:rsidRPr="00902AF9" w:rsidRDefault="00A92F0C" w:rsidP="00A92F0C">
      <w:pPr>
        <w:pStyle w:val="Compact"/>
        <w:numPr>
          <w:ilvl w:val="0"/>
          <w:numId w:val="39"/>
        </w:numPr>
      </w:pPr>
      <w:proofErr w:type="gramStart"/>
      <w:r>
        <w:rPr>
          <w:b/>
          <w:bCs/>
        </w:rPr>
        <w:t>3</w:t>
      </w:r>
      <w:proofErr w:type="gramEnd"/>
      <w:r>
        <w:rPr>
          <w:b/>
          <w:bCs/>
        </w:rPr>
        <w:t xml:space="preserve"> step da seguire</w:t>
      </w:r>
      <w:r>
        <w:t xml:space="preserve"> (non solo in progettazione, anche es. in pianificazione):</w:t>
      </w:r>
    </w:p>
    <w:p w14:paraId="5497430A" w14:textId="77777777" w:rsidR="00A92F0C" w:rsidRPr="00902AF9" w:rsidRDefault="00A92F0C" w:rsidP="00A92F0C">
      <w:pPr>
        <w:pStyle w:val="Compact"/>
        <w:numPr>
          <w:ilvl w:val="1"/>
          <w:numId w:val="41"/>
        </w:numPr>
      </w:pPr>
      <w:r>
        <w:rPr>
          <w:b/>
          <w:bCs/>
        </w:rPr>
        <w:t>Verifica</w:t>
      </w:r>
      <w:r>
        <w:t xml:space="preserve"> = confronto: </w:t>
      </w:r>
      <w:r>
        <w:rPr>
          <w:highlight w:val="cyan"/>
        </w:rPr>
        <w:t>si verifica se il progetto risponde ai requisiti di input e se sono rispettate le scadenze previste</w:t>
      </w:r>
      <w:r>
        <w:t>.</w:t>
      </w:r>
    </w:p>
    <w:p w14:paraId="49F3C06E" w14:textId="77777777" w:rsidR="00A92F0C" w:rsidRPr="00902AF9" w:rsidRDefault="00A92F0C" w:rsidP="00A92F0C">
      <w:pPr>
        <w:pStyle w:val="Compact"/>
        <w:numPr>
          <w:ilvl w:val="1"/>
          <w:numId w:val="40"/>
        </w:numPr>
      </w:pPr>
      <w:r>
        <w:rPr>
          <w:b/>
          <w:bCs/>
        </w:rPr>
        <w:t>Riesame</w:t>
      </w:r>
      <w:r>
        <w:t xml:space="preserve"> (riunione, con i rappresentanti delle varie fasi) = </w:t>
      </w:r>
      <w:r>
        <w:rPr>
          <w:highlight w:val="cyan"/>
        </w:rPr>
        <w:t>anticipare problemi futuri</w:t>
      </w:r>
      <w:r>
        <w:t xml:space="preserve">; può coincidere con le verifiche. </w:t>
      </w:r>
      <w:r>
        <w:rPr>
          <w:highlight w:val="cyan"/>
        </w:rPr>
        <w:t>Strumento operativo: la check-list</w:t>
      </w:r>
      <w:r>
        <w:t>.</w:t>
      </w:r>
    </w:p>
    <w:p w14:paraId="272A2816" w14:textId="77777777" w:rsidR="00A92F0C" w:rsidRPr="00902AF9" w:rsidRDefault="00A92F0C" w:rsidP="00A92F0C">
      <w:pPr>
        <w:pStyle w:val="Compact"/>
        <w:numPr>
          <w:ilvl w:val="1"/>
          <w:numId w:val="40"/>
        </w:numPr>
      </w:pPr>
      <w:r>
        <w:rPr>
          <w:b/>
          <w:bCs/>
        </w:rPr>
        <w:t>Validazione</w:t>
      </w:r>
      <w:r>
        <w:t xml:space="preserve"> = </w:t>
      </w:r>
      <w:r>
        <w:rPr>
          <w:highlight w:val="cyan"/>
        </w:rPr>
        <w:t>approvazione del progetto</w:t>
      </w:r>
      <w:r>
        <w:t xml:space="preserve">: si può passare al processo successivo (l’approvvigionamento). </w:t>
      </w:r>
      <w:r>
        <w:rPr>
          <w:highlight w:val="cyan"/>
        </w:rPr>
        <w:t>In caso di mancata validazione → azioni correttive</w:t>
      </w:r>
      <w:r>
        <w:t xml:space="preserve"> (modifiche al progetto).</w:t>
      </w:r>
    </w:p>
    <w:p w14:paraId="17508B97" w14:textId="77777777" w:rsidR="00A92F0C" w:rsidRPr="00902AF9" w:rsidRDefault="00A92F0C" w:rsidP="00A92F0C">
      <w:pPr>
        <w:pStyle w:val="Compact"/>
        <w:numPr>
          <w:ilvl w:val="0"/>
          <w:numId w:val="39"/>
        </w:numPr>
      </w:pPr>
      <w:r>
        <w:rPr>
          <w:highlight w:val="cyan"/>
        </w:rPr>
        <w:t>Validare la progettazione</w:t>
      </w:r>
      <w:r>
        <w:t xml:space="preserve"> (il processo è in grado di fornire gli output desiderati) </w:t>
      </w:r>
      <w:r>
        <w:rPr>
          <w:highlight w:val="cyan"/>
        </w:rPr>
        <w:t>≠</w:t>
      </w:r>
      <w:r>
        <w:t xml:space="preserve"> </w:t>
      </w:r>
      <w:r>
        <w:rPr>
          <w:highlight w:val="cyan"/>
        </w:rPr>
        <w:t>validare il progetto</w:t>
      </w:r>
      <w:r>
        <w:t xml:space="preserve"> (l’output si può passare al processo successivo).</w:t>
      </w:r>
      <w:bookmarkEnd w:id="45"/>
    </w:p>
    <w:p w14:paraId="0807F128" w14:textId="77777777" w:rsidR="00A92F0C" w:rsidRPr="00902AF9" w:rsidRDefault="00A92F0C" w:rsidP="00A92F0C">
      <w:pPr>
        <w:pStyle w:val="Titolo2"/>
      </w:pPr>
      <w:bookmarkStart w:id="46" w:name="approvvigionamento"/>
      <w:r>
        <w:t>8.4 Approvvigionamento</w:t>
      </w:r>
    </w:p>
    <w:p w14:paraId="33BB4215" w14:textId="77777777" w:rsidR="00A92F0C" w:rsidRPr="00902AF9" w:rsidRDefault="00A92F0C" w:rsidP="00A92F0C">
      <w:pPr>
        <w:pStyle w:val="FirstParagraph"/>
      </w:pPr>
      <w:r>
        <w:rPr>
          <w:highlight w:val="cyan"/>
        </w:rPr>
        <w:t>Adottare strategie relative agli acquisti e ai rapporti con i fornitori</w:t>
      </w:r>
      <w:r>
        <w:t>: - rapporti di reciproco beneficio con i fornitori; - qualificazione e valutazione periodica dei fornitori: l’azienda redige un elenco di fornitori qualificati che rispettano requisiti prestabiliti — qualità, rispetto dei tempi, stabilità dei prezzi, grado di innovazione.</w:t>
      </w:r>
      <w:bookmarkEnd w:id="46"/>
    </w:p>
    <w:p w14:paraId="31E2DC19" w14:textId="77777777" w:rsidR="00A92F0C" w:rsidRPr="00902AF9" w:rsidRDefault="00A92F0C" w:rsidP="00A92F0C">
      <w:pPr>
        <w:pStyle w:val="Titolo2"/>
      </w:pPr>
      <w:r>
        <w:lastRenderedPageBreak/>
        <w:t>8.5 Produzione ed erogazione dei servizi</w:t>
      </w:r>
    </w:p>
    <w:p w14:paraId="672274F6" w14:textId="77777777" w:rsidR="00A92F0C" w:rsidRPr="00902AF9" w:rsidRDefault="00A92F0C" w:rsidP="00A92F0C">
      <w:pPr>
        <w:pStyle w:val="FirstParagraph"/>
      </w:pPr>
      <w:bookmarkStart w:id="47" w:name="produzione-ed-erogazione-dei-servizi"/>
      <w:r>
        <w:rPr>
          <w:highlight w:val="cyan"/>
        </w:rPr>
        <w:t>Realizzazione vera e propria del prodotto/servizio secondo quanto pianificato</w:t>
      </w:r>
      <w:r>
        <w:t>.</w:t>
      </w:r>
      <w:bookmarkEnd w:id="47"/>
    </w:p>
    <w:p w14:paraId="2FEDDEF4" w14:textId="77777777" w:rsidR="00A92F0C" w:rsidRPr="00902AF9" w:rsidRDefault="00A92F0C" w:rsidP="00A92F0C">
      <w:pPr>
        <w:pStyle w:val="Titolo2"/>
      </w:pPr>
      <w:r>
        <w:t>8.6 Controllo dei dispositivi di monitoraggio e misurazione</w:t>
      </w:r>
    </w:p>
    <w:p w14:paraId="538F0B75" w14:textId="77777777" w:rsidR="00A92F0C" w:rsidRPr="00902AF9" w:rsidRDefault="00A92F0C" w:rsidP="00A92F0C">
      <w:pPr>
        <w:pStyle w:val="FirstParagraph"/>
      </w:pPr>
      <w:r>
        <w:rPr>
          <w:highlight w:val="cyan"/>
        </w:rPr>
        <w:t>Procedura che garantisce idoneità e validità delle misurazioni</w:t>
      </w:r>
      <w:r>
        <w:t xml:space="preserve"> effettuate con i dispositivi.</w:t>
      </w:r>
    </w:p>
    <w:p w14:paraId="31B77905" w14:textId="77777777" w:rsidR="00A92F0C" w:rsidRPr="00902AF9" w:rsidRDefault="00A92F0C" w:rsidP="00A92F0C">
      <w:pPr>
        <w:pStyle w:val="Compact"/>
        <w:numPr>
          <w:ilvl w:val="0"/>
          <w:numId w:val="39"/>
        </w:numPr>
      </w:pPr>
      <w:r>
        <w:rPr>
          <w:b/>
          <w:bCs/>
        </w:rPr>
        <w:t>Metrologia industriale</w:t>
      </w:r>
      <w:r>
        <w:t xml:space="preserve"> (taratura) = </w:t>
      </w:r>
      <w:r>
        <w:rPr>
          <w:highlight w:val="cyan"/>
        </w:rPr>
        <w:t>operazioni che consentono di riportare l’errore dello strumento entro i limiti desiderati</w:t>
      </w:r>
      <w:r>
        <w:t>.</w:t>
      </w:r>
    </w:p>
    <w:p w14:paraId="66AA95C6" w14:textId="77777777" w:rsidR="00A92F0C" w:rsidRPr="00902AF9" w:rsidRDefault="00A92F0C" w:rsidP="00A92F0C">
      <w:pPr>
        <w:pStyle w:val="Compact"/>
        <w:numPr>
          <w:ilvl w:val="0"/>
          <w:numId w:val="39"/>
        </w:numPr>
      </w:pPr>
      <w:r>
        <w:rPr>
          <w:b/>
          <w:bCs/>
        </w:rPr>
        <w:t>Identificazione e registrazione degli strumenti</w:t>
      </w:r>
      <w:r>
        <w:t xml:space="preserve">: </w:t>
      </w:r>
      <w:r>
        <w:rPr>
          <w:highlight w:val="cyan"/>
        </w:rPr>
        <w:t>marcatura diretta/etichetta che riporta matricola/codice interno, data dell’ultima calibrazione, tempo di garanzia della calibrazione</w:t>
      </w:r>
      <w:r>
        <w:t xml:space="preserve"> → da cui la data di scadenza della calibrazione.</w:t>
      </w:r>
    </w:p>
    <w:p w14:paraId="3940A86B" w14:textId="77777777" w:rsidR="00A92F0C" w:rsidRPr="00902AF9" w:rsidRDefault="00A92F0C" w:rsidP="00A92F0C">
      <w:pPr>
        <w:pStyle w:val="Compact"/>
        <w:numPr>
          <w:ilvl w:val="0"/>
          <w:numId w:val="39"/>
        </w:numPr>
      </w:pPr>
      <w:r>
        <w:rPr>
          <w:b/>
          <w:bCs/>
        </w:rPr>
        <w:t>Strumento fuori garanzia</w:t>
      </w:r>
      <w:r>
        <w:t xml:space="preserve">: </w:t>
      </w:r>
      <w:r>
        <w:rPr>
          <w:highlight w:val="cyan"/>
        </w:rPr>
        <w:t>segnalare di non usarlo più e rintracciare tutti i prodotti collaudati con quello strumento nel periodo di garanzia scaduta</w:t>
      </w:r>
      <w:r>
        <w:t xml:space="preserve"> — se i pezzi sono in magazzino li si riporta al collaudo con uno strumento valido, se sono già stati venduti li si richiama.</w:t>
      </w:r>
    </w:p>
    <w:p w14:paraId="0089E266" w14:textId="77777777" w:rsidR="00A92F0C" w:rsidRPr="00902AF9" w:rsidRDefault="00A92F0C" w:rsidP="00A92F0C">
      <w:pPr>
        <w:pStyle w:val="Compact"/>
        <w:numPr>
          <w:ilvl w:val="0"/>
          <w:numId w:val="39"/>
        </w:numPr>
      </w:pPr>
      <w:r>
        <w:rPr>
          <w:b/>
          <w:bCs/>
        </w:rPr>
        <w:t>Frequenza di taratura</w:t>
      </w:r>
      <w:r>
        <w:t xml:space="preserve">: </w:t>
      </w:r>
      <w:r>
        <w:rPr>
          <w:highlight w:val="cyan"/>
        </w:rPr>
        <w:t>pianificata tramite un cronoprogramma</w:t>
      </w:r>
      <w:r>
        <w:t>.</w:t>
      </w:r>
    </w:p>
    <w:p w14:paraId="44BF0825" w14:textId="77777777" w:rsidR="00A92F0C" w:rsidRPr="00902AF9" w:rsidRDefault="00A92F0C" w:rsidP="00A92F0C">
      <w:pPr>
        <w:pStyle w:val="Compact"/>
        <w:numPr>
          <w:ilvl w:val="0"/>
          <w:numId w:val="39"/>
        </w:numPr>
      </w:pPr>
      <w:r>
        <w:rPr>
          <w:b/>
          <w:bCs/>
        </w:rPr>
        <w:t>Decisioni basate sull’evidenza / dati di fatto</w:t>
      </w:r>
      <w:r>
        <w:t>: dati-misure rilevati → analisi dei dati → controllo e miglioramento.</w:t>
      </w:r>
    </w:p>
    <w:bookmarkStart w:id="48" w:name="X0ae34fc507d8bb974b984a55e7414ab8adc5857"/>
    <w:bookmarkStart w:id="49" w:name="X30023035fe1dee035ce0318714a87938e6e361e"/>
    <w:p w14:paraId="6FA849E8" w14:textId="77777777" w:rsidR="00A92F0C" w:rsidRPr="00902AF9" w:rsidRDefault="00000000" w:rsidP="00A92F0C">
      <w:r>
        <w:pict w14:anchorId="57AE8001">
          <v:rect id="_x0000_s1052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  <w:bookmarkEnd w:id="48"/>
      <w:bookmarkEnd w:id="49"/>
    </w:p>
    <w:p w14:paraId="2628461D" w14:textId="77777777" w:rsidR="00A92F0C" w:rsidRDefault="00A92F0C" w:rsidP="00A92F0C">
      <w:pPr>
        <w:pStyle w:val="Titolo1"/>
      </w:pPr>
      <w:bookmarkStart w:id="50" w:name="X191b7c344878398a1631eeb7b61356dbb2a2e01"/>
      <w:r>
        <w:t>Modulo 6 — Capitolo 9: Valutazione delle Prestazioni</w:t>
      </w:r>
    </w:p>
    <w:p w14:paraId="125D5CE7" w14:textId="4CEBE02B" w:rsidR="00373FB0" w:rsidRPr="00373FB0" w:rsidRDefault="00000000" w:rsidP="00373FB0">
      <w:pPr>
        <w:pStyle w:val="Corpotesto"/>
      </w:pPr>
      <w:r>
        <w:pict w14:anchorId="7C1BADEA">
          <v:rect id="_x0000_s1051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</w:p>
    <w:p w14:paraId="66DFEDE5" w14:textId="77777777" w:rsidR="00A92F0C" w:rsidRPr="00902AF9" w:rsidRDefault="00A92F0C" w:rsidP="00A92F0C">
      <w:pPr>
        <w:pStyle w:val="Titolo2"/>
      </w:pPr>
      <w:bookmarkStart w:id="51" w:name="X5d3749d3e4802cf065847d46cead3e8a4e593fa"/>
      <w:r>
        <w:t>9.1 Monitoraggio, misurazione, analisi e valutazione</w:t>
      </w:r>
    </w:p>
    <w:p w14:paraId="37B645D4" w14:textId="77777777" w:rsidR="00A92F0C" w:rsidRPr="00902AF9" w:rsidRDefault="00A92F0C" w:rsidP="00A92F0C">
      <w:pPr>
        <w:pStyle w:val="FirstParagraph"/>
      </w:pPr>
      <w:r>
        <w:rPr>
          <w:b/>
          <w:bCs/>
        </w:rPr>
        <w:t>Quattro aspetti</w:t>
      </w:r>
      <w:r>
        <w:t xml:space="preserve">: - </w:t>
      </w:r>
      <w:r>
        <w:rPr>
          <w:b/>
          <w:bCs/>
        </w:rPr>
        <w:t>Monitoraggio</w:t>
      </w:r>
      <w:r>
        <w:t xml:space="preserve"> = </w:t>
      </w:r>
      <w:r>
        <w:rPr>
          <w:highlight w:val="cyan"/>
        </w:rPr>
        <w:t>osservazione delle prestazioni in momenti prestabiliti</w:t>
      </w:r>
      <w:r>
        <w:t xml:space="preserve"> (verifica che i processi siano svolti come pianificato). - </w:t>
      </w:r>
      <w:r>
        <w:rPr>
          <w:b/>
          <w:bCs/>
        </w:rPr>
        <w:t>Misurazione</w:t>
      </w:r>
      <w:r>
        <w:t xml:space="preserve"> = d</w:t>
      </w:r>
      <w:r>
        <w:rPr>
          <w:highlight w:val="cyan"/>
        </w:rPr>
        <w:t>eterminazione di un dato visibile</w:t>
      </w:r>
      <w:r>
        <w:t xml:space="preserve">. - </w:t>
      </w:r>
      <w:r>
        <w:rPr>
          <w:b/>
          <w:bCs/>
        </w:rPr>
        <w:t>Analisi</w:t>
      </w:r>
      <w:r>
        <w:t xml:space="preserve"> = </w:t>
      </w:r>
      <w:r>
        <w:rPr>
          <w:highlight w:val="cyan"/>
        </w:rPr>
        <w:t>se sono in linea con quanto prestabilito</w:t>
      </w:r>
      <w:r>
        <w:t xml:space="preserve"> – </w:t>
      </w:r>
      <w:r>
        <w:rPr>
          <w:b/>
          <w:bCs/>
        </w:rPr>
        <w:t>Valutazione</w:t>
      </w:r>
      <w:r>
        <w:t xml:space="preserve"> = Avviene nella riunione di riesame: </w:t>
      </w:r>
      <w:r>
        <w:rPr>
          <w:highlight w:val="cyan"/>
        </w:rPr>
        <w:t>si valuta se i processi hanno raggiunto i risultati pianificati</w:t>
      </w:r>
      <w:r>
        <w:t>, altrimenti si intraprendono azioni correttive raccolte nel Piano di Miglioramento.</w:t>
      </w:r>
    </w:p>
    <w:p w14:paraId="66A1B579" w14:textId="77777777" w:rsidR="00A92F0C" w:rsidRPr="00902AF9" w:rsidRDefault="00A92F0C" w:rsidP="00A92F0C">
      <w:pPr>
        <w:pStyle w:val="Compact"/>
        <w:numPr>
          <w:ilvl w:val="0"/>
          <w:numId w:val="39"/>
        </w:numPr>
      </w:pPr>
      <w:r>
        <w:rPr>
          <w:b/>
          <w:bCs/>
        </w:rPr>
        <w:t>KPI</w:t>
      </w:r>
      <w:r>
        <w:t xml:space="preserve"> (Key Performance </w:t>
      </w:r>
      <w:proofErr w:type="spellStart"/>
      <w:r>
        <w:t>Indicators</w:t>
      </w:r>
      <w:proofErr w:type="spellEnd"/>
      <w:r>
        <w:t xml:space="preserve">) = </w:t>
      </w:r>
      <w:r>
        <w:rPr>
          <w:highlight w:val="cyan"/>
        </w:rPr>
        <w:t>indicatori chiave di prestazione: misure utili a valutare efficacia ed efficienza e ad attuare azioni correttive</w:t>
      </w:r>
      <w:r>
        <w:t xml:space="preserve"> quando le prestazioni non sono conformi agli obiettivi.</w:t>
      </w:r>
    </w:p>
    <w:p w14:paraId="64BBCC87" w14:textId="77777777" w:rsidR="00A92F0C" w:rsidRPr="00902AF9" w:rsidRDefault="00A92F0C" w:rsidP="00A92F0C">
      <w:pPr>
        <w:pStyle w:val="Compact"/>
        <w:numPr>
          <w:ilvl w:val="0"/>
          <w:numId w:val="39"/>
        </w:numPr>
      </w:pPr>
      <w:r>
        <w:rPr>
          <w:b/>
          <w:bCs/>
        </w:rPr>
        <w:t>Principio guida</w:t>
      </w:r>
      <w:r>
        <w:t xml:space="preserve">: </w:t>
      </w:r>
      <w:r>
        <w:rPr>
          <w:i/>
          <w:iCs/>
          <w:highlight w:val="cyan"/>
        </w:rPr>
        <w:t>se non si misura non si può controllare, se non si controlla non si può gestire, se non si gestisce non si può migliorare</w:t>
      </w:r>
      <w:r>
        <w:t xml:space="preserve"> → decisioni basate su dati di fatto, non su impressioni.</w:t>
      </w:r>
    </w:p>
    <w:p w14:paraId="13A254A0" w14:textId="77777777" w:rsidR="00A92F0C" w:rsidRPr="00902AF9" w:rsidRDefault="00A92F0C" w:rsidP="00A92F0C">
      <w:pPr>
        <w:pStyle w:val="Compact"/>
        <w:numPr>
          <w:ilvl w:val="0"/>
          <w:numId w:val="39"/>
        </w:numPr>
      </w:pPr>
      <w:proofErr w:type="spellStart"/>
      <w:r>
        <w:rPr>
          <w:b/>
          <w:bCs/>
        </w:rPr>
        <w:t>Vendor</w:t>
      </w:r>
      <w:proofErr w:type="spellEnd"/>
      <w:r>
        <w:rPr>
          <w:b/>
          <w:bCs/>
        </w:rPr>
        <w:t xml:space="preserve"> rating</w:t>
      </w:r>
      <w:r>
        <w:t xml:space="preserve"> = </w:t>
      </w:r>
      <w:r>
        <w:rPr>
          <w:highlight w:val="cyan"/>
        </w:rPr>
        <w:t>sistema di valutazione delle prestazioni dei fornitori</w:t>
      </w:r>
      <w:r>
        <w:t>.</w:t>
      </w:r>
    </w:p>
    <w:p w14:paraId="55954215" w14:textId="77777777" w:rsidR="00A92F0C" w:rsidRPr="00902AF9" w:rsidRDefault="00A92F0C" w:rsidP="00A92F0C">
      <w:pPr>
        <w:pStyle w:val="FirstParagraph"/>
      </w:pPr>
      <w:r>
        <w:rPr>
          <w:b/>
          <w:bCs/>
        </w:rPr>
        <w:t>Strumenti di monitoraggio e misurazione dei processi</w:t>
      </w:r>
      <w:r>
        <w:t xml:space="preserve">: </w:t>
      </w:r>
      <w:r>
        <w:rPr>
          <w:highlight w:val="cyan"/>
        </w:rPr>
        <w:t>foglio di raccolta dati, istogramma, diagramma causa-effetto, carte di controllo, analisi di Paret</w:t>
      </w:r>
      <w:r>
        <w:t xml:space="preserve">o (80/20), </w:t>
      </w:r>
      <w:r>
        <w:rPr>
          <w:highlight w:val="cyan"/>
        </w:rPr>
        <w:t>diagramma di correlazione, stratificazione</w:t>
      </w:r>
      <w:r>
        <w:t xml:space="preserve"> → tutti producono dati per decidere. Nota: non </w:t>
      </w:r>
      <w:r>
        <w:lastRenderedPageBreak/>
        <w:t>raccogliere troppi dati rispetto alle reali necessità (sarebbe efficace ma non efficiente) → si usano piani di campionamento per prodotti/servizi.</w:t>
      </w:r>
    </w:p>
    <w:p w14:paraId="5A15162A" w14:textId="77777777" w:rsidR="00A92F0C" w:rsidRPr="00902AF9" w:rsidRDefault="00A92F0C" w:rsidP="00A92F0C">
      <w:pPr>
        <w:pStyle w:val="Corpotesto"/>
      </w:pPr>
      <w:r>
        <w:rPr>
          <w:b/>
          <w:bCs/>
        </w:rPr>
        <w:t>Soddisfazione del cliente</w:t>
      </w:r>
      <w:r>
        <w:t xml:space="preserve"> (principio del TQM). Come si misura? - </w:t>
      </w:r>
      <w:r>
        <w:rPr>
          <w:highlight w:val="cyan"/>
        </w:rPr>
        <w:t xml:space="preserve">Analisi dirette (misure </w:t>
      </w:r>
      <w:r>
        <w:rPr>
          <w:i/>
          <w:iCs/>
          <w:highlight w:val="cyan"/>
        </w:rPr>
        <w:t>qualitative</w:t>
      </w:r>
      <w:r>
        <w:rPr>
          <w:highlight w:val="cyan"/>
        </w:rPr>
        <w:t>)</w:t>
      </w:r>
      <w:r>
        <w:t xml:space="preserve">: interviste, riunioni con i clienti, questionari. Limite: poco attendibili, perché spesso al questionario risponde solo chi è insoddisfatto. - </w:t>
      </w:r>
      <w:r>
        <w:rPr>
          <w:highlight w:val="cyan"/>
        </w:rPr>
        <w:t xml:space="preserve">Analisi indirette (misure </w:t>
      </w:r>
      <w:r>
        <w:rPr>
          <w:i/>
          <w:iCs/>
          <w:highlight w:val="cyan"/>
        </w:rPr>
        <w:t>quantitative</w:t>
      </w:r>
      <w:r>
        <w:rPr>
          <w:highlight w:val="cyan"/>
        </w:rPr>
        <w:t>)</w:t>
      </w:r>
      <w:r>
        <w:t xml:space="preserve">: andamento delle vendite, richieste di garanzia, clienti persi, offerte non accettate, benchmarking → dati su cui basare le decisioni. - </w:t>
      </w:r>
      <w:r>
        <w:rPr>
          <w:highlight w:val="cyan"/>
        </w:rPr>
        <w:t>Il monitoraggio dev’essere preventivo, non solo reattivo</w:t>
      </w:r>
      <w:r>
        <w:t xml:space="preserve"> (non basarsi solo sui reclami). Aree da valutare: immagine, qualità del prodotto/servizio, fase di vendita, assistenza post-vendita, fidelizzazione.</w:t>
      </w:r>
    </w:p>
    <w:p w14:paraId="760030BB" w14:textId="77777777" w:rsidR="00A92F0C" w:rsidRPr="00902AF9" w:rsidRDefault="00A92F0C" w:rsidP="00A92F0C">
      <w:pPr>
        <w:pStyle w:val="Corpotesto"/>
      </w:pPr>
      <w:r>
        <w:rPr>
          <w:b/>
          <w:bCs/>
        </w:rPr>
        <w:t>Analisi dei dati</w:t>
      </w:r>
      <w:r>
        <w:t xml:space="preserve">: </w:t>
      </w:r>
      <w:r>
        <w:rPr>
          <w:highlight w:val="cyan"/>
        </w:rPr>
        <w:t>analizzare i dati raccolti dal monitoraggio e identificare rischi e opportunità di miglioramento</w:t>
      </w:r>
      <w:r>
        <w:t>. I risultati delle analisi (</w:t>
      </w:r>
      <w:r>
        <w:rPr>
          <w:i/>
          <w:iCs/>
        </w:rPr>
        <w:t>cosa sta avvenendo</w:t>
      </w:r>
      <w:r>
        <w:t>) e le azioni di miglioramento (</w:t>
      </w:r>
      <w:r>
        <w:rPr>
          <w:i/>
          <w:iCs/>
        </w:rPr>
        <w:t>come l’azienda deve reagire</w:t>
      </w:r>
      <w:r>
        <w:t>) sono input per il Riesame della Direzione.</w:t>
      </w:r>
      <w:bookmarkEnd w:id="51"/>
    </w:p>
    <w:p w14:paraId="005A7039" w14:textId="77777777" w:rsidR="00A92F0C" w:rsidRPr="00902AF9" w:rsidRDefault="00A92F0C" w:rsidP="00A92F0C">
      <w:pPr>
        <w:pStyle w:val="Titolo2"/>
      </w:pPr>
      <w:bookmarkStart w:id="52" w:name="controllo-delle-non-conformità-pnc"/>
      <w:r>
        <w:t>Controllo delle Non Conformità (PNC)</w:t>
      </w:r>
    </w:p>
    <w:p w14:paraId="288FD89B" w14:textId="77777777" w:rsidR="00A92F0C" w:rsidRPr="00902AF9" w:rsidRDefault="00A92F0C" w:rsidP="00A92F0C">
      <w:pPr>
        <w:pStyle w:val="FirstParagraph"/>
      </w:pPr>
      <w:r>
        <w:rPr>
          <w:b/>
          <w:bCs/>
        </w:rPr>
        <w:t>Non conformità</w:t>
      </w:r>
      <w:r>
        <w:t xml:space="preserve"> (NC) = </w:t>
      </w:r>
      <w:r>
        <w:rPr>
          <w:highlight w:val="cyan"/>
        </w:rPr>
        <w:t>mancato soddisfacimento di un requisito</w:t>
      </w:r>
      <w:r>
        <w:t>. Obiettivo: impedire l’uso o la consegna involontaria del prodotto non conforme.</w:t>
      </w:r>
    </w:p>
    <w:p w14:paraId="317577FF" w14:textId="77777777" w:rsidR="00A92F0C" w:rsidRPr="00902AF9" w:rsidRDefault="00A92F0C" w:rsidP="00A92F0C">
      <w:pPr>
        <w:pStyle w:val="Corpotesto"/>
      </w:pPr>
      <w:r>
        <w:rPr>
          <w:b/>
          <w:bCs/>
        </w:rPr>
        <w:t>Fasi del processo di gestione del PNC</w:t>
      </w:r>
      <w:r>
        <w:t xml:space="preserve"> (Prodotto Non Conforme): 1. </w:t>
      </w:r>
      <w:r>
        <w:rPr>
          <w:highlight w:val="cyan"/>
        </w:rPr>
        <w:t>Identificazione</w:t>
      </w:r>
      <w:r>
        <w:t xml:space="preserve"> (cartellini, etichette) 2. </w:t>
      </w:r>
      <w:r>
        <w:rPr>
          <w:highlight w:val="cyan"/>
        </w:rPr>
        <w:t>Documentazione</w:t>
      </w:r>
      <w:r>
        <w:t xml:space="preserve"> → Rapporto di Non Conformità (RNC): informazione documentata da conservare, contiene i motivi della NC e le azioni da intraprendere per il trattamento (oltre a prescrizioni non rispettate, risultati di prove, documenti tecnici) 3. </w:t>
      </w:r>
      <w:r>
        <w:rPr>
          <w:highlight w:val="cyan"/>
        </w:rPr>
        <w:t>Valutazione</w:t>
      </w:r>
      <w:r>
        <w:t xml:space="preserve"> 4. </w:t>
      </w:r>
      <w:r>
        <w:rPr>
          <w:highlight w:val="cyan"/>
        </w:rPr>
        <w:t>Segregazione in aree dedicate</w:t>
      </w:r>
      <w:r>
        <w:t xml:space="preserve"> 5. </w:t>
      </w:r>
      <w:r>
        <w:rPr>
          <w:highlight w:val="cyan"/>
        </w:rPr>
        <w:t>Trattamento</w:t>
      </w:r>
      <w:r>
        <w:t xml:space="preserve"> 6. </w:t>
      </w:r>
      <w:r>
        <w:rPr>
          <w:highlight w:val="cyan"/>
        </w:rPr>
        <w:t>Notifica alle parti interessate</w:t>
      </w:r>
    </w:p>
    <w:p w14:paraId="028930A8" w14:textId="77777777" w:rsidR="00A92F0C" w:rsidRPr="00902AF9" w:rsidRDefault="00A92F0C" w:rsidP="00A92F0C">
      <w:pPr>
        <w:pStyle w:val="Corpotesto"/>
      </w:pPr>
      <w:r>
        <w:rPr>
          <w:b/>
          <w:bCs/>
        </w:rPr>
        <w:t>Due tipi di intervento</w:t>
      </w:r>
      <w:r>
        <w:t xml:space="preserve">, da non confondere: - </w:t>
      </w:r>
      <w:r>
        <w:rPr>
          <w:b/>
          <w:bCs/>
        </w:rPr>
        <w:t>Trattamento</w:t>
      </w:r>
      <w:r>
        <w:t xml:space="preserve"> = </w:t>
      </w:r>
      <w:r>
        <w:rPr>
          <w:highlight w:val="cyan"/>
        </w:rPr>
        <w:t>intervengo sul prodotto</w:t>
      </w:r>
      <w:r>
        <w:t xml:space="preserve">: concessione (lo uso com’è, con autorizzazione del cliente/autorità), riparazione, scarto, declassamento (il PNC risponde a requisiti meno stringenti) → elimino/gestisco il prodotto non conforme. Dopo il trattamento il prodotto va riverificato. - </w:t>
      </w:r>
      <w:r>
        <w:rPr>
          <w:b/>
          <w:bCs/>
        </w:rPr>
        <w:t>Azioni correttive/preventive</w:t>
      </w:r>
      <w:r>
        <w:t xml:space="preserve"> = </w:t>
      </w:r>
      <w:r>
        <w:rPr>
          <w:highlight w:val="cyan"/>
        </w:rPr>
        <w:t>intervengo sulle cause</w:t>
      </w:r>
      <w:r>
        <w:t xml:space="preserve">: </w:t>
      </w:r>
      <w:r>
        <w:rPr>
          <w:i/>
          <w:iCs/>
          <w:highlight w:val="cyan"/>
        </w:rPr>
        <w:t>correttiva</w:t>
      </w:r>
      <w:r>
        <w:t xml:space="preserve"> (su fatti già avvenuti che hanno causato la NC) e </w:t>
      </w:r>
      <w:r>
        <w:rPr>
          <w:i/>
          <w:iCs/>
          <w:highlight w:val="cyan"/>
        </w:rPr>
        <w:t>preventiva</w:t>
      </w:r>
      <w:r>
        <w:t xml:space="preserve"> (su cause potenziali non ancora avvenute) → evito che il problema si ripresenti in futuro.</w:t>
      </w:r>
    </w:p>
    <w:p w14:paraId="641C474A" w14:textId="77777777" w:rsidR="00A92F0C" w:rsidRPr="00902AF9" w:rsidRDefault="00A92F0C" w:rsidP="00A92F0C">
      <w:pPr>
        <w:pStyle w:val="Testodelblocco"/>
      </w:pPr>
      <w:r>
        <w:rPr>
          <w:highlight w:val="cyan"/>
        </w:rPr>
        <w:t>Nota: se la NC è riscontrata dopo la consegna/utilizzo del cliente, l’organizzazione deve valutare la NC e, nel caso, notificare e richiamare i prodotti</w:t>
      </w:r>
      <w:r>
        <w:t>.</w:t>
      </w:r>
    </w:p>
    <w:p w14:paraId="2BE7CCCF" w14:textId="77777777" w:rsidR="00A92F0C" w:rsidRPr="00902AF9" w:rsidRDefault="00A92F0C" w:rsidP="00A92F0C">
      <w:pPr>
        <w:pStyle w:val="FirstParagraph"/>
      </w:pPr>
      <w:r>
        <w:rPr>
          <w:b/>
          <w:bCs/>
        </w:rPr>
        <w:t>NC ≠ Difetto</w:t>
      </w:r>
      <w:r>
        <w:t xml:space="preserve">: - </w:t>
      </w:r>
      <w:r>
        <w:rPr>
          <w:b/>
          <w:bCs/>
        </w:rPr>
        <w:t>Non conformità</w:t>
      </w:r>
      <w:r>
        <w:t xml:space="preserve"> (meno grave) = </w:t>
      </w:r>
      <w:r>
        <w:rPr>
          <w:highlight w:val="cyan"/>
        </w:rPr>
        <w:t xml:space="preserve">mancato soddisfacimento di requisiti </w:t>
      </w:r>
      <w:r>
        <w:rPr>
          <w:i/>
          <w:iCs/>
          <w:highlight w:val="cyan"/>
        </w:rPr>
        <w:t>specificati/previsti</w:t>
      </w:r>
      <w:r>
        <w:rPr>
          <w:highlight w:val="cyan"/>
        </w:rPr>
        <w:t xml:space="preserve"> per il prodotto → il prodotto può essere comunque accettabile</w:t>
      </w:r>
      <w:r>
        <w:t xml:space="preserve"> (es. detergente con concentrazione di principi attivi sotto il limite minimo; cliente che trova il negozio chiuso nell’orario previsto). - </w:t>
      </w:r>
      <w:r>
        <w:rPr>
          <w:b/>
          <w:bCs/>
        </w:rPr>
        <w:t>Difetto</w:t>
      </w:r>
      <w:r>
        <w:t xml:space="preserve"> (più grave) = </w:t>
      </w:r>
      <w:r>
        <w:rPr>
          <w:highlight w:val="cyan"/>
        </w:rPr>
        <w:t xml:space="preserve">mancato soddisfacimento di requisiti </w:t>
      </w:r>
      <w:r>
        <w:rPr>
          <w:i/>
          <w:iCs/>
          <w:highlight w:val="cyan"/>
        </w:rPr>
        <w:t>necessari all’impiego previsto</w:t>
      </w:r>
      <w:r>
        <w:rPr>
          <w:highlight w:val="cyan"/>
        </w:rPr>
        <w:t xml:space="preserve"> → il prodotto non è utilizzabile</w:t>
      </w:r>
      <w:r>
        <w:t xml:space="preserve"> (es. orario di apertura che non rispetta le esigenze dei clienti perché chiude troppo presto).</w:t>
      </w:r>
    </w:p>
    <w:p w14:paraId="76A8F364" w14:textId="77777777" w:rsidR="00A92F0C" w:rsidRPr="00902AF9" w:rsidRDefault="00A92F0C" w:rsidP="00A92F0C">
      <w:pPr>
        <w:pStyle w:val="Corpotesto"/>
      </w:pPr>
      <w:r>
        <w:rPr>
          <w:b/>
          <w:bCs/>
        </w:rPr>
        <w:t>Gravità della NC</w:t>
      </w:r>
      <w:r>
        <w:t xml:space="preserve">: </w:t>
      </w:r>
      <w:r>
        <w:rPr>
          <w:b/>
          <w:bCs/>
          <w:i/>
          <w:iCs/>
        </w:rPr>
        <w:t>maggiore</w:t>
      </w:r>
      <w:r>
        <w:t xml:space="preserve"> </w:t>
      </w:r>
      <w:r>
        <w:rPr>
          <w:highlight w:val="cyan"/>
        </w:rPr>
        <w:t>quando richiede interventi non ordinari o il coinvolgimento del cliente</w:t>
      </w:r>
      <w:r>
        <w:t xml:space="preserve">; </w:t>
      </w:r>
      <w:r>
        <w:rPr>
          <w:b/>
          <w:bCs/>
          <w:i/>
          <w:iCs/>
        </w:rPr>
        <w:t>minore</w:t>
      </w:r>
      <w:r>
        <w:t xml:space="preserve"> </w:t>
      </w:r>
      <w:r>
        <w:rPr>
          <w:highlight w:val="cyan"/>
        </w:rPr>
        <w:t>quando esistono prassi già stabilite per risolverla</w:t>
      </w:r>
      <w:r>
        <w:t>.</w:t>
      </w:r>
      <w:bookmarkStart w:id="53" w:name="audit-interno-uni-iso-190112018"/>
      <w:bookmarkEnd w:id="52"/>
      <w:r>
        <w:t xml:space="preserve"> </w:t>
      </w:r>
      <w:r>
        <w:rPr>
          <w:highlight w:val="cyan"/>
        </w:rPr>
        <w:t>NC rilevante (causa identificabile)</w:t>
      </w:r>
      <w:r>
        <w:t xml:space="preserve"> → il trattamento del PNC è sufficiente a chiudere la pratica; azioni correttive/preventive non necessarie. </w:t>
      </w:r>
      <w:r>
        <w:rPr>
          <w:highlight w:val="cyan"/>
        </w:rPr>
        <w:t>NC irrilevante (causa non evidente o sistemica)</w:t>
      </w:r>
      <w:r>
        <w:t xml:space="preserve"> → </w:t>
      </w:r>
      <w:r>
        <w:lastRenderedPageBreak/>
        <w:t>dopo il trattamento è richiesto un riesame di sistema; azioni correttive/preventive necessarie per evitare che il problema si ripeta.</w:t>
      </w:r>
    </w:p>
    <w:p w14:paraId="4A8E4D7F" w14:textId="77777777" w:rsidR="00A92F0C" w:rsidRPr="00902AF9" w:rsidRDefault="00A92F0C" w:rsidP="00A92F0C">
      <w:pPr>
        <w:pStyle w:val="Titolo2"/>
      </w:pPr>
      <w:r>
        <w:t xml:space="preserve">9.2 Audit interno </w:t>
      </w:r>
      <w:r>
        <w:rPr>
          <w:i/>
          <w:iCs/>
        </w:rPr>
        <w:t>(UNI ISO 19011:2018)</w:t>
      </w:r>
    </w:p>
    <w:p w14:paraId="503FD8E1" w14:textId="77777777" w:rsidR="00A92F0C" w:rsidRPr="00902AF9" w:rsidRDefault="00A92F0C" w:rsidP="00A92F0C">
      <w:pPr>
        <w:pStyle w:val="FirstParagraph"/>
      </w:pPr>
      <w:r>
        <w:rPr>
          <w:b/>
          <w:bCs/>
        </w:rPr>
        <w:t>Audit</w:t>
      </w:r>
      <w:r>
        <w:t xml:space="preserve"> = </w:t>
      </w:r>
      <w:r>
        <w:rPr>
          <w:highlight w:val="cyan"/>
        </w:rPr>
        <w:t>processo sistematico, indipendente e documentato che raccoglie e valuta evidenze oggettive</w:t>
      </w:r>
      <w:r>
        <w:t xml:space="preserve">. Per stabilire se i criteri dell’audit sono rispettati → verificare l’efficacia dei processi. Non è una “caccia all’errore”, ma un confronto. - </w:t>
      </w:r>
      <w:r>
        <w:rPr>
          <w:highlight w:val="cyan"/>
        </w:rPr>
        <w:t>Obiettivo: individuare aree/strumenti di miglioramento</w:t>
      </w:r>
      <w:r>
        <w:t xml:space="preserve">. - </w:t>
      </w:r>
      <w:r>
        <w:rPr>
          <w:highlight w:val="cyan"/>
        </w:rPr>
        <w:t>Rischi: l’audit non raggiunge i propri obiettivi; l’audit interferisce con i processi dell’azienda</w:t>
      </w:r>
      <w:r>
        <w:t>. - NB: è efficace solo se si identificano a priori i fattori critici su cui indagare.</w:t>
      </w:r>
    </w:p>
    <w:p w14:paraId="3C6FFE1D" w14:textId="77777777" w:rsidR="00A92F0C" w:rsidRPr="00902AF9" w:rsidRDefault="00A92F0C" w:rsidP="00A92F0C">
      <w:pPr>
        <w:pStyle w:val="Corpotesto"/>
      </w:pPr>
      <w:r>
        <w:rPr>
          <w:b/>
          <w:bCs/>
        </w:rPr>
        <w:t>Classificazione</w:t>
      </w:r>
      <w:r>
        <w:t xml:space="preserve">: - </w:t>
      </w:r>
      <w:r>
        <w:rPr>
          <w:highlight w:val="cyan"/>
        </w:rPr>
        <w:t>Interno</w:t>
      </w:r>
      <w:r>
        <w:t xml:space="preserve"> (di </w:t>
      </w:r>
      <w:proofErr w:type="gramStart"/>
      <w:r>
        <w:t>1ª</w:t>
      </w:r>
      <w:proofErr w:type="gramEnd"/>
      <w:r>
        <w:t xml:space="preserve"> parte): </w:t>
      </w:r>
      <w:r>
        <w:rPr>
          <w:highlight w:val="cyan"/>
        </w:rPr>
        <w:t>l’organizzazione controlla sé stessa</w:t>
      </w:r>
      <w:r>
        <w:t xml:space="preserve"> (auditor interno, o esterno se l’azienda è piccola); serve a far emergere aree di miglioramento esaminate poi nel riesame. - </w:t>
      </w:r>
      <w:r>
        <w:rPr>
          <w:highlight w:val="cyan"/>
        </w:rPr>
        <w:t>Esterno</w:t>
      </w:r>
      <w:r>
        <w:t xml:space="preserve">: </w:t>
      </w:r>
      <w:r>
        <w:rPr>
          <w:highlight w:val="cyan"/>
        </w:rPr>
        <w:t xml:space="preserve">di </w:t>
      </w:r>
      <w:proofErr w:type="gramStart"/>
      <w:r>
        <w:rPr>
          <w:highlight w:val="cyan"/>
        </w:rPr>
        <w:t>2ª</w:t>
      </w:r>
      <w:proofErr w:type="gramEnd"/>
      <w:r>
        <w:rPr>
          <w:highlight w:val="cyan"/>
        </w:rPr>
        <w:t xml:space="preserve"> parte</w:t>
      </w:r>
      <w:r>
        <w:t xml:space="preserve"> (</w:t>
      </w:r>
      <w:r>
        <w:rPr>
          <w:highlight w:val="cyan"/>
        </w:rPr>
        <w:t>cliente/fornitore verifica un fornitore</w:t>
      </w:r>
      <w:r>
        <w:t xml:space="preserve">) </w:t>
      </w:r>
      <w:r>
        <w:rPr>
          <w:highlight w:val="cyan"/>
        </w:rPr>
        <w:t xml:space="preserve">e di </w:t>
      </w:r>
      <w:proofErr w:type="gramStart"/>
      <w:r>
        <w:rPr>
          <w:highlight w:val="cyan"/>
        </w:rPr>
        <w:t>3ª</w:t>
      </w:r>
      <w:proofErr w:type="gramEnd"/>
      <w:r>
        <w:rPr>
          <w:highlight w:val="cyan"/>
        </w:rPr>
        <w:t xml:space="preserve"> parte</w:t>
      </w:r>
      <w:r>
        <w:t xml:space="preserve"> (</w:t>
      </w:r>
      <w:r>
        <w:rPr>
          <w:highlight w:val="cyan"/>
        </w:rPr>
        <w:t>organismo esterno indipendente</w:t>
      </w:r>
      <w:r>
        <w:t>, es. ente certificatore — per prescrizioni obbligatorie o per la certificazione).</w:t>
      </w:r>
    </w:p>
    <w:p w14:paraId="2F74783A" w14:textId="77777777" w:rsidR="00A92F0C" w:rsidRPr="00902AF9" w:rsidRDefault="00A92F0C" w:rsidP="00A92F0C">
      <w:pPr>
        <w:pStyle w:val="Corpotesto"/>
      </w:pPr>
      <w:r>
        <w:rPr>
          <w:b/>
          <w:bCs/>
        </w:rPr>
        <w:t>Per obiettivo</w:t>
      </w:r>
      <w:r>
        <w:t xml:space="preserve"> (tipo A/B/C): - </w:t>
      </w:r>
      <w:r>
        <w:rPr>
          <w:b/>
          <w:bCs/>
        </w:rPr>
        <w:t xml:space="preserve">Tipo A </w:t>
      </w:r>
      <w:r>
        <w:t xml:space="preserve">— </w:t>
      </w:r>
      <w:r>
        <w:rPr>
          <w:highlight w:val="cyan"/>
        </w:rPr>
        <w:t>Conformità: verifica se l’azienda opera in conformità alle prescrizioni</w:t>
      </w:r>
      <w:r>
        <w:t xml:space="preserve">. - </w:t>
      </w:r>
      <w:r>
        <w:rPr>
          <w:b/>
          <w:bCs/>
        </w:rPr>
        <w:t>Tipo B</w:t>
      </w:r>
      <w:r>
        <w:t xml:space="preserve"> — </w:t>
      </w:r>
      <w:r>
        <w:rPr>
          <w:highlight w:val="cyan"/>
        </w:rPr>
        <w:t>Adeguatezza: verifica se le prescrizioni scritte sono adeguate alla norma</w:t>
      </w:r>
      <w:r>
        <w:t xml:space="preserve">. - </w:t>
      </w:r>
      <w:r>
        <w:rPr>
          <w:b/>
          <w:bCs/>
        </w:rPr>
        <w:t>Tipo C</w:t>
      </w:r>
      <w:r>
        <w:t>: entrambi (A + B).</w:t>
      </w:r>
    </w:p>
    <w:p w14:paraId="22350CCF" w14:textId="77777777" w:rsidR="00A92F0C" w:rsidRPr="00902AF9" w:rsidRDefault="00A92F0C" w:rsidP="00A92F0C">
      <w:pPr>
        <w:pStyle w:val="Corpotesto"/>
      </w:pPr>
      <w:r>
        <w:rPr>
          <w:b/>
          <w:bCs/>
        </w:rPr>
        <w:t>Per estensione/coordinamento</w:t>
      </w:r>
      <w:r>
        <w:t xml:space="preserve">: - </w:t>
      </w:r>
      <w:r>
        <w:rPr>
          <w:b/>
          <w:bCs/>
        </w:rPr>
        <w:t>Combinato</w:t>
      </w:r>
      <w:r>
        <w:t xml:space="preserve">: </w:t>
      </w:r>
      <w:r>
        <w:rPr>
          <w:highlight w:val="cyan"/>
        </w:rPr>
        <w:t>due o più sistemi di gestione sottoposti contemporaneamente ad audit</w:t>
      </w:r>
      <w:r>
        <w:t xml:space="preserve">. - </w:t>
      </w:r>
      <w:r>
        <w:rPr>
          <w:b/>
          <w:bCs/>
        </w:rPr>
        <w:t>Integrato</w:t>
      </w:r>
      <w:r>
        <w:t xml:space="preserve">: </w:t>
      </w:r>
      <w:r>
        <w:rPr>
          <w:highlight w:val="cyan"/>
        </w:rPr>
        <w:t>l’organizzazione ha già unito più sistemi in un unico sistema coordinato</w:t>
      </w:r>
      <w:r>
        <w:t xml:space="preserve">. - </w:t>
      </w:r>
      <w:r>
        <w:rPr>
          <w:b/>
          <w:bCs/>
        </w:rPr>
        <w:t>Congiunto</w:t>
      </w:r>
      <w:r>
        <w:t xml:space="preserve">: </w:t>
      </w:r>
      <w:r>
        <w:rPr>
          <w:highlight w:val="cyan"/>
        </w:rPr>
        <w:t>due o più organismi di audit cooperano per verificare un’unica azienda</w:t>
      </w:r>
      <w:r>
        <w:t>.</w:t>
      </w:r>
    </w:p>
    <w:p w14:paraId="68391C77" w14:textId="77777777" w:rsidR="00A92F0C" w:rsidRPr="00902AF9" w:rsidRDefault="00A92F0C" w:rsidP="00A92F0C">
      <w:pPr>
        <w:pStyle w:val="Corpotesto"/>
      </w:pPr>
      <w:r>
        <w:rPr>
          <w:b/>
          <w:bCs/>
        </w:rPr>
        <w:t>Programma vs Piano vs Campo di applicazione</w:t>
      </w:r>
      <w:r>
        <w:t xml:space="preserve">: - </w:t>
      </w:r>
      <w:r>
        <w:rPr>
          <w:b/>
          <w:bCs/>
        </w:rPr>
        <w:t>Programma di audit</w:t>
      </w:r>
      <w:r>
        <w:t xml:space="preserve"> = </w:t>
      </w:r>
      <w:r>
        <w:rPr>
          <w:highlight w:val="cyan"/>
        </w:rPr>
        <w:t>insieme degli audit programmati in un arco di tempo</w:t>
      </w:r>
      <w:r>
        <w:t xml:space="preserve"> (es. un anno). - </w:t>
      </w:r>
      <w:r>
        <w:rPr>
          <w:b/>
          <w:bCs/>
        </w:rPr>
        <w:t>Piano di audit</w:t>
      </w:r>
      <w:r>
        <w:t xml:space="preserve"> = </w:t>
      </w:r>
      <w:r>
        <w:rPr>
          <w:highlight w:val="cyan"/>
        </w:rPr>
        <w:t>descrizione delle attività per condurre un singolo audit</w:t>
      </w:r>
      <w:r>
        <w:t xml:space="preserve"> (aree, tempi, persone, documenti, responsabilità). - </w:t>
      </w:r>
      <w:r>
        <w:rPr>
          <w:b/>
          <w:bCs/>
        </w:rPr>
        <w:t>Campo di applicazione</w:t>
      </w:r>
      <w:r>
        <w:t xml:space="preserve"> = </w:t>
      </w:r>
      <w:r>
        <w:rPr>
          <w:highlight w:val="cyan"/>
        </w:rPr>
        <w:t>cosa viene effettivamente verificato</w:t>
      </w:r>
      <w:r>
        <w:t xml:space="preserve"> (sedi, reparti, processi, periodo, documenti).</w:t>
      </w:r>
    </w:p>
    <w:p w14:paraId="7205F511" w14:textId="77777777" w:rsidR="00A92F0C" w:rsidRPr="00902AF9" w:rsidRDefault="00A92F0C" w:rsidP="00A92F0C">
      <w:pPr>
        <w:pStyle w:val="Corpotesto"/>
      </w:pPr>
      <w:r>
        <w:rPr>
          <w:b/>
          <w:bCs/>
        </w:rPr>
        <w:t>Criteri, evidenze, risultanze</w:t>
      </w:r>
      <w:r>
        <w:t xml:space="preserve">: </w:t>
      </w:r>
      <w:r>
        <w:rPr>
          <w:highlight w:val="cyan"/>
        </w:rPr>
        <w:t>i criteri sono i riferimenti</w:t>
      </w:r>
      <w:r>
        <w:t xml:space="preserve"> (norme, procedure, requisiti); </w:t>
      </w:r>
      <w:r>
        <w:rPr>
          <w:highlight w:val="cyan"/>
        </w:rPr>
        <w:t>le evidenze sono le informazioni raccolte</w:t>
      </w:r>
      <w:r>
        <w:t xml:space="preserve"> (registrazioni, dichiarazioni, osservazioni); </w:t>
      </w:r>
      <w:r>
        <w:rPr>
          <w:highlight w:val="cyan"/>
        </w:rPr>
        <w:t>le risultanze sono il confronto tra criteri ed evidenze</w:t>
      </w:r>
      <w:r>
        <w:t xml:space="preserve"> (conformità, NC, opportunità di miglioramento). Tutto su fatti verificabili, non opinioni.</w:t>
      </w:r>
    </w:p>
    <w:p w14:paraId="69978655" w14:textId="77777777" w:rsidR="00A92F0C" w:rsidRPr="00902AF9" w:rsidRDefault="00A92F0C" w:rsidP="00A92F0C">
      <w:pPr>
        <w:pStyle w:val="Corpotesto"/>
      </w:pPr>
      <w:r>
        <w:rPr>
          <w:b/>
          <w:bCs/>
        </w:rPr>
        <w:t>Ruoli</w:t>
      </w:r>
      <w:r>
        <w:t xml:space="preserve">: </w:t>
      </w:r>
      <w:r>
        <w:rPr>
          <w:highlight w:val="cyan"/>
        </w:rPr>
        <w:t>committente</w:t>
      </w:r>
      <w:r>
        <w:t xml:space="preserve"> (chi richiede l’audit), </w:t>
      </w:r>
      <w:proofErr w:type="spellStart"/>
      <w:r>
        <w:rPr>
          <w:highlight w:val="cyan"/>
        </w:rPr>
        <w:t>auditee</w:t>
      </w:r>
      <w:proofErr w:type="spellEnd"/>
      <w:r>
        <w:rPr>
          <w:highlight w:val="cyan"/>
        </w:rPr>
        <w:t xml:space="preserve">/organizzazione </w:t>
      </w:r>
      <w:proofErr w:type="spellStart"/>
      <w:r>
        <w:rPr>
          <w:highlight w:val="cyan"/>
        </w:rPr>
        <w:t>auditata</w:t>
      </w:r>
      <w:proofErr w:type="spellEnd"/>
      <w:r>
        <w:t xml:space="preserve"> (chi è verificato), </w:t>
      </w:r>
      <w:r>
        <w:rPr>
          <w:highlight w:val="cyan"/>
        </w:rPr>
        <w:t>auditor</w:t>
      </w:r>
      <w:r>
        <w:t xml:space="preserve"> (chi conduce), </w:t>
      </w:r>
      <w:r>
        <w:rPr>
          <w:highlight w:val="cyan"/>
        </w:rPr>
        <w:t>gruppo di audit</w:t>
      </w:r>
      <w:r>
        <w:t xml:space="preserve"> (più auditor, esperti tecnici, osservatori, guida interna).</w:t>
      </w:r>
    </w:p>
    <w:p w14:paraId="75096024" w14:textId="77777777" w:rsidR="00A92F0C" w:rsidRPr="00902AF9" w:rsidRDefault="00A92F0C" w:rsidP="00A92F0C">
      <w:pPr>
        <w:pStyle w:val="Corpotesto"/>
      </w:pPr>
      <w:r>
        <w:rPr>
          <w:b/>
          <w:bCs/>
        </w:rPr>
        <w:t>Principi</w:t>
      </w:r>
      <w:r>
        <w:t xml:space="preserve">: - dell’auditor: </w:t>
      </w:r>
      <w:r>
        <w:rPr>
          <w:highlight w:val="cyan"/>
        </w:rPr>
        <w:t>integrità, imparzialità, professionalità</w:t>
      </w:r>
      <w:r>
        <w:t xml:space="preserve"> (competenza), </w:t>
      </w:r>
      <w:r>
        <w:rPr>
          <w:highlight w:val="cyan"/>
        </w:rPr>
        <w:t>riservatezza</w:t>
      </w:r>
      <w:r>
        <w:t xml:space="preserve"> (sicurezza delle informazioni). - dell’audit: </w:t>
      </w:r>
      <w:r>
        <w:rPr>
          <w:highlight w:val="cyan"/>
        </w:rPr>
        <w:t>indipendenza</w:t>
      </w:r>
      <w:r>
        <w:t xml:space="preserve"> (assenza di conflitti di interesse, oggettività) </w:t>
      </w:r>
      <w:r>
        <w:rPr>
          <w:highlight w:val="cyan"/>
        </w:rPr>
        <w:t>e approccio basato sull’evidenza</w:t>
      </w:r>
      <w:r>
        <w:t xml:space="preserve"> (conclusioni su risultati verificabili e riproducibili).</w:t>
      </w:r>
    </w:p>
    <w:p w14:paraId="03BA2930" w14:textId="77777777" w:rsidR="00A92F0C" w:rsidRPr="00902AF9" w:rsidRDefault="00A92F0C" w:rsidP="00A92F0C">
      <w:pPr>
        <w:pStyle w:val="Corpotesto"/>
      </w:pPr>
      <w:r>
        <w:rPr>
          <w:b/>
          <w:bCs/>
        </w:rPr>
        <w:t>Fasi dell’audit</w:t>
      </w:r>
      <w:r>
        <w:t xml:space="preserve">: </w:t>
      </w:r>
      <w:r>
        <w:rPr>
          <w:highlight w:val="cyan"/>
        </w:rPr>
        <w:t>pianificazione</w:t>
      </w:r>
      <w:r>
        <w:t xml:space="preserve"> (emissione del programma) → </w:t>
      </w:r>
      <w:r>
        <w:rPr>
          <w:highlight w:val="cyan"/>
        </w:rPr>
        <w:t>preparazione</w:t>
      </w:r>
      <w:r>
        <w:t xml:space="preserve"> (riunione preparatoria, stesura della check-list) → </w:t>
      </w:r>
      <w:r>
        <w:rPr>
          <w:highlight w:val="cyan"/>
        </w:rPr>
        <w:t>notifica</w:t>
      </w:r>
      <w:r>
        <w:t xml:space="preserve"> (emissione e trasmissione) → </w:t>
      </w:r>
      <w:r>
        <w:rPr>
          <w:highlight w:val="cyan"/>
        </w:rPr>
        <w:t>conduzione</w:t>
      </w:r>
      <w:r>
        <w:t xml:space="preserve"> </w:t>
      </w:r>
      <w:r>
        <w:lastRenderedPageBreak/>
        <w:t xml:space="preserve">(riunione iniziale, svolgimento, riunione finale) → </w:t>
      </w:r>
      <w:r>
        <w:rPr>
          <w:highlight w:val="cyan"/>
        </w:rPr>
        <w:t>azioni finali</w:t>
      </w:r>
      <w:r>
        <w:t xml:space="preserve"> (emissione e trasmissione del rapporto di audit, che è una registrazione).</w:t>
      </w:r>
    </w:p>
    <w:p w14:paraId="17CABD54" w14:textId="77777777" w:rsidR="00A92F0C" w:rsidRPr="00902AF9" w:rsidRDefault="00A92F0C" w:rsidP="00A92F0C">
      <w:pPr>
        <w:pStyle w:val="Corpotesto"/>
      </w:pPr>
      <w:r>
        <w:rPr>
          <w:b/>
          <w:bCs/>
        </w:rPr>
        <w:t>Distinzioni</w:t>
      </w:r>
      <w:r>
        <w:t xml:space="preserve">: - </w:t>
      </w:r>
      <w:r>
        <w:rPr>
          <w:b/>
          <w:bCs/>
        </w:rPr>
        <w:t>Audit vs Re-audit</w:t>
      </w:r>
      <w:r>
        <w:t xml:space="preserve">: </w:t>
      </w:r>
      <w:r>
        <w:rPr>
          <w:highlight w:val="cyan"/>
        </w:rPr>
        <w:t>il re-audit è la ripetizione di un audit già svolto</w:t>
      </w:r>
      <w:r>
        <w:t xml:space="preserve">, perché sono emerse NC/requisiti non soddisfatti oppure su specifica richiesta del committente. - </w:t>
      </w:r>
      <w:r>
        <w:rPr>
          <w:b/>
          <w:bCs/>
        </w:rPr>
        <w:t>Audit ≠ Ispezione</w:t>
      </w:r>
      <w:r>
        <w:t xml:space="preserve">: </w:t>
      </w:r>
      <w:r>
        <w:rPr>
          <w:highlight w:val="cyan"/>
        </w:rPr>
        <w:t>l’ispezione verifica la conformità di un prodotto per decidere se accettarlo</w:t>
      </w:r>
      <w:r>
        <w:t xml:space="preserve">, e si esegue a fronte di un contratto (non di una norma); l’organismo di ispezione è privato (es. chi fa audit di </w:t>
      </w:r>
      <w:proofErr w:type="gramStart"/>
      <w:r>
        <w:t>2ª</w:t>
      </w:r>
      <w:proofErr w:type="gramEnd"/>
      <w:r>
        <w:t xml:space="preserve"> parte). - </w:t>
      </w:r>
      <w:r>
        <w:rPr>
          <w:b/>
          <w:bCs/>
        </w:rPr>
        <w:t>Autovalutazione</w:t>
      </w:r>
      <w:r>
        <w:t xml:space="preserve"> = </w:t>
      </w:r>
      <w:r>
        <w:rPr>
          <w:highlight w:val="cyan"/>
        </w:rPr>
        <w:t>strumento di miglioramento</w:t>
      </w:r>
      <w:r>
        <w:t xml:space="preserve"> più che di valutazione: si riesaminano i risultati dell’audit, si valuta l’efficacia del SGQ, si identificano opportunità; i risultati sono input per il riesame.</w:t>
      </w:r>
    </w:p>
    <w:p w14:paraId="57CDFD68" w14:textId="77777777" w:rsidR="00A92F0C" w:rsidRPr="00902AF9" w:rsidRDefault="00A92F0C" w:rsidP="00A92F0C">
      <w:pPr>
        <w:pStyle w:val="Corpotesto"/>
      </w:pPr>
      <w:r>
        <w:rPr>
          <w:b/>
          <w:bCs/>
        </w:rPr>
        <w:t>Figura dell’auditor</w:t>
      </w:r>
      <w:r>
        <w:t xml:space="preserve">: </w:t>
      </w:r>
      <w:r>
        <w:rPr>
          <w:highlight w:val="cyan"/>
        </w:rPr>
        <w:t>competenze tecniche</w:t>
      </w:r>
      <w:r>
        <w:t xml:space="preserve"> (requisiti legali/contrattuali) </w:t>
      </w:r>
      <w:r>
        <w:rPr>
          <w:highlight w:val="cyan"/>
        </w:rPr>
        <w:t>e caratteristiche personali</w:t>
      </w:r>
      <w:r>
        <w:t xml:space="preserve"> (autorevolezza non </w:t>
      </w:r>
      <w:r>
        <w:rPr>
          <w:i/>
          <w:iCs/>
        </w:rPr>
        <w:t>autorità</w:t>
      </w:r>
      <w:r>
        <w:t xml:space="preserve">, apertura mentale, sensibilità, collaborativo, diplomatico). </w:t>
      </w:r>
      <w:r>
        <w:rPr>
          <w:highlight w:val="cyan"/>
        </w:rPr>
        <w:t>Nella riunione iniziale anche l’azienda valuta l’auditor</w:t>
      </w:r>
      <w:r>
        <w:t xml:space="preserve"> (prime impressioni). L’audit è un confronto, non un atto ostile.</w:t>
      </w:r>
      <w:bookmarkEnd w:id="53"/>
    </w:p>
    <w:p w14:paraId="147F59F9" w14:textId="77777777" w:rsidR="00A92F0C" w:rsidRPr="00902AF9" w:rsidRDefault="00A92F0C" w:rsidP="00A92F0C">
      <w:pPr>
        <w:pStyle w:val="Titolo2"/>
      </w:pPr>
      <w:bookmarkStart w:id="54" w:name="riesame-della-direzione"/>
      <w:r>
        <w:t>9.3 Riesame della Direzione</w:t>
      </w:r>
    </w:p>
    <w:p w14:paraId="74AB5B1A" w14:textId="77777777" w:rsidR="00A92F0C" w:rsidRDefault="00A92F0C" w:rsidP="00A92F0C">
      <w:pPr>
        <w:pStyle w:val="FirstParagraph"/>
      </w:pPr>
      <w:r>
        <w:rPr>
          <w:highlight w:val="cyan"/>
        </w:rPr>
        <w:t>Riunione periodica del vertice per valutare l’andamento complessivo del SGQ e assicurarne l’efficacia</w:t>
      </w:r>
      <w:r>
        <w:t xml:space="preserve">. - </w:t>
      </w:r>
      <w:r>
        <w:rPr>
          <w:highlight w:val="cyan"/>
        </w:rPr>
        <w:t>Input: dati di monitoraggio, dati di misurazione delle prestazioni</w:t>
      </w:r>
      <w:r>
        <w:t xml:space="preserve"> (compresi i KPI), risultati di audit interni, risultati di autovalutazioni, risultati di benchmarking, risultati di analisi dei dati. - </w:t>
      </w:r>
      <w:r>
        <w:rPr>
          <w:highlight w:val="cyan"/>
        </w:rPr>
        <w:t>Output: individuazione delle opportunità di miglioramento</w:t>
      </w:r>
      <w:r>
        <w:t>, eventuali modifiche alla Politica e/o agli obiettivi per la qualità.</w:t>
      </w:r>
      <w:bookmarkEnd w:id="50"/>
      <w:bookmarkEnd w:id="54"/>
    </w:p>
    <w:p w14:paraId="6CD2F6BE" w14:textId="77777777" w:rsidR="00CB0EF5" w:rsidRPr="00CB0EF5" w:rsidRDefault="00000000" w:rsidP="00CB0EF5">
      <w:pPr>
        <w:pStyle w:val="Corpotesto"/>
      </w:pPr>
      <w:r>
        <w:pict w14:anchorId="6A0B0A3D">
          <v:rect id="Rettangolo 1285377274" o:spid="_x0000_s1050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</w:p>
    <w:p w14:paraId="7450D26D" w14:textId="77777777" w:rsidR="00CB0EF5" w:rsidRDefault="00CB0EF5" w:rsidP="00CB0EF5">
      <w:pPr>
        <w:pStyle w:val="Titolo1"/>
      </w:pPr>
      <w:bookmarkStart w:id="55" w:name="modulo-7-miglioramento"/>
      <w:r>
        <w:t>Modulo 7 — Miglioramento</w:t>
      </w:r>
    </w:p>
    <w:p w14:paraId="057A1476" w14:textId="198BC64F" w:rsidR="00373FB0" w:rsidRPr="00373FB0" w:rsidRDefault="00000000" w:rsidP="00373FB0">
      <w:pPr>
        <w:pStyle w:val="Corpotesto"/>
      </w:pPr>
      <w:r>
        <w:pict w14:anchorId="54248EEC">
          <v:rect id="_x0000_s1049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</w:p>
    <w:p w14:paraId="5BA5A618" w14:textId="77777777" w:rsidR="00CB0EF5" w:rsidRPr="00BE0185" w:rsidRDefault="00CB0EF5" w:rsidP="00CB0EF5">
      <w:pPr>
        <w:pStyle w:val="Titolo2"/>
      </w:pPr>
      <w:r>
        <w:t>10. Miglioramento</w:t>
      </w:r>
    </w:p>
    <w:p w14:paraId="7CE1C25A" w14:textId="77777777" w:rsidR="00CB0EF5" w:rsidRPr="00F1190B" w:rsidRDefault="00CB0EF5" w:rsidP="00CB0EF5">
      <w:pPr>
        <w:pStyle w:val="FirstParagraph"/>
      </w:pPr>
      <w:r>
        <w:rPr>
          <w:b/>
          <w:bCs/>
        </w:rPr>
        <w:t>Miglioramento</w:t>
      </w:r>
      <w:r>
        <w:t xml:space="preserve"> = </w:t>
      </w:r>
      <w:r>
        <w:rPr>
          <w:highlight w:val="cyan"/>
        </w:rPr>
        <w:t>insieme delle azioni intraprese dall’organizzazione per: - aumentare efficacia ed efficienza dei processi</w:t>
      </w:r>
      <w:r>
        <w:t xml:space="preserve">; - aumentare la </w:t>
      </w:r>
      <w:r>
        <w:rPr>
          <w:highlight w:val="cyan"/>
        </w:rPr>
        <w:t>soddisfazione</w:t>
      </w:r>
      <w:r>
        <w:t xml:space="preserve"> dei clienti e </w:t>
      </w:r>
      <w:r>
        <w:rPr>
          <w:highlight w:val="cyan"/>
        </w:rPr>
        <w:t>delle parti interessate</w:t>
      </w:r>
      <w:r>
        <w:t xml:space="preserve">; - </w:t>
      </w:r>
      <w:r>
        <w:rPr>
          <w:highlight w:val="cyan"/>
        </w:rPr>
        <w:t>ridurre le difettosità/non conformità</w:t>
      </w:r>
      <w:r>
        <w:t>.</w:t>
      </w:r>
    </w:p>
    <w:p w14:paraId="7BE9FC84" w14:textId="77777777" w:rsidR="00CB0EF5" w:rsidRPr="00F1190B" w:rsidRDefault="00CB0EF5" w:rsidP="00CB0EF5">
      <w:pPr>
        <w:pStyle w:val="Corpotesto"/>
      </w:pPr>
      <w:r>
        <w:rPr>
          <w:b/>
          <w:bCs/>
        </w:rPr>
        <w:t>Miglioramento continuo</w:t>
      </w:r>
      <w:r>
        <w:t xml:space="preserve"> = </w:t>
      </w:r>
      <w:r>
        <w:rPr>
          <w:highlight w:val="cyan"/>
        </w:rPr>
        <w:t>attività pianificata, sistematica e guidata dal management, senza un punto di arrivo definitivo</w:t>
      </w:r>
      <w:r>
        <w:t xml:space="preserve">. La ISO 9004 lo collega al successo durevole. Due modalità: </w:t>
      </w:r>
      <w:r>
        <w:rPr>
          <w:b/>
          <w:bCs/>
        </w:rPr>
        <w:t>miglioramento continuo</w:t>
      </w:r>
      <w:r>
        <w:t xml:space="preserve"> </w:t>
      </w:r>
      <w:r>
        <w:rPr>
          <w:highlight w:val="cyan"/>
        </w:rPr>
        <w:t>(piccoli interventi)</w:t>
      </w:r>
      <w:r>
        <w:t xml:space="preserve"> e </w:t>
      </w:r>
      <w:r>
        <w:rPr>
          <w:b/>
          <w:bCs/>
        </w:rPr>
        <w:t>innovazione</w:t>
      </w:r>
      <w:r>
        <w:t xml:space="preserve"> </w:t>
      </w:r>
      <w:r>
        <w:rPr>
          <w:highlight w:val="cyan"/>
        </w:rPr>
        <w:t>(cambiamenti significativi)</w:t>
      </w:r>
      <w:r>
        <w:t>.</w:t>
      </w:r>
    </w:p>
    <w:p w14:paraId="5A893DAD" w14:textId="77777777" w:rsidR="00CB0EF5" w:rsidRPr="00F1190B" w:rsidRDefault="00CB0EF5" w:rsidP="00CB0EF5">
      <w:pPr>
        <w:pStyle w:val="Corpotesto"/>
      </w:pPr>
      <w:r>
        <w:rPr>
          <w:b/>
          <w:bCs/>
        </w:rPr>
        <w:t>Industria 4.0</w:t>
      </w:r>
      <w:r>
        <w:t xml:space="preserve"> = quarta rivoluzione industriale: </w:t>
      </w:r>
      <w:r>
        <w:rPr>
          <w:highlight w:val="cyan"/>
        </w:rPr>
        <w:t xml:space="preserve">interconnessione tra reparti, macchine, sistemi informatici; sistemi cyber-fisici, IoT, </w:t>
      </w:r>
      <w:proofErr w:type="spellStart"/>
      <w:r>
        <w:rPr>
          <w:highlight w:val="cyan"/>
        </w:rPr>
        <w:t>cobotica</w:t>
      </w:r>
      <w:proofErr w:type="spellEnd"/>
      <w:r>
        <w:t>. Ogni innovazione comporta rischi da valutare e gestire con azioni preventive.</w:t>
      </w:r>
    </w:p>
    <w:p w14:paraId="5E0FFB13" w14:textId="77777777" w:rsidR="00CB0EF5" w:rsidRPr="00F1190B" w:rsidRDefault="00CB0EF5" w:rsidP="00CB0EF5">
      <w:pPr>
        <w:pStyle w:val="Corpotesto"/>
      </w:pPr>
      <w:r>
        <w:rPr>
          <w:b/>
          <w:bCs/>
        </w:rPr>
        <w:t xml:space="preserve">Logica del </w:t>
      </w:r>
      <w:proofErr w:type="spellStart"/>
      <w:r>
        <w:rPr>
          <w:b/>
          <w:bCs/>
        </w:rPr>
        <w:t>problem</w:t>
      </w:r>
      <w:proofErr w:type="spellEnd"/>
      <w:r>
        <w:t xml:space="preserve"> </w:t>
      </w:r>
      <w:r>
        <w:rPr>
          <w:b/>
          <w:bCs/>
        </w:rPr>
        <w:t>solving</w:t>
      </w:r>
      <w:r>
        <w:t xml:space="preserve"> (PDCA applicato): situazione di insoddisfazione → individuare i problemi → scegliere il più importante → cercare le cause → definire le soluzioni → applicarle → controllare i risultati.</w:t>
      </w:r>
    </w:p>
    <w:bookmarkStart w:id="56" w:name="miglioramento"/>
    <w:p w14:paraId="261FF0F4" w14:textId="77777777" w:rsidR="00CB0EF5" w:rsidRPr="00F1190B" w:rsidRDefault="00000000" w:rsidP="00CB0EF5">
      <w:r>
        <w:pict w14:anchorId="23D78BBB">
          <v:rect id="_x0000_s1048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  <w:bookmarkEnd w:id="56"/>
    </w:p>
    <w:p w14:paraId="326B8D71" w14:textId="77777777" w:rsidR="00CB0EF5" w:rsidRPr="00BE0185" w:rsidRDefault="00CB0EF5" w:rsidP="00CB0EF5">
      <w:pPr>
        <w:pStyle w:val="Titolo2"/>
      </w:pPr>
      <w:r>
        <w:t>La qualità e la variabilità</w:t>
      </w:r>
    </w:p>
    <w:p w14:paraId="631E08DB" w14:textId="77777777" w:rsidR="00CB0EF5" w:rsidRPr="00F1190B" w:rsidRDefault="00CB0EF5" w:rsidP="00CB0EF5">
      <w:pPr>
        <w:pStyle w:val="FirstParagraph"/>
      </w:pPr>
      <w:proofErr w:type="gramStart"/>
      <w:r>
        <w:rPr>
          <w:b/>
          <w:bCs/>
        </w:rPr>
        <w:t>8</w:t>
      </w:r>
      <w:proofErr w:type="gramEnd"/>
      <w:r>
        <w:rPr>
          <w:b/>
          <w:bCs/>
        </w:rPr>
        <w:t xml:space="preserve"> dimensioni della qualità di un prodotto</w:t>
      </w:r>
      <w:r>
        <w:t xml:space="preserve">: </w:t>
      </w:r>
      <w:r>
        <w:rPr>
          <w:highlight w:val="cyan"/>
        </w:rPr>
        <w:t>prestazione, affidabilità, durata, manutenibilità, forma, funzionalità, qualità percepita, conformità alle specifiche</w:t>
      </w:r>
      <w:r>
        <w:t>. Sintesi: qualità = essere appropriato all’uso.</w:t>
      </w:r>
    </w:p>
    <w:p w14:paraId="1246AD7A" w14:textId="77777777" w:rsidR="00CB0EF5" w:rsidRPr="00F1190B" w:rsidRDefault="00CB0EF5" w:rsidP="00CB0EF5">
      <w:pPr>
        <w:pStyle w:val="Corpotesto"/>
      </w:pPr>
      <w:r>
        <w:rPr>
          <w:b/>
          <w:bCs/>
        </w:rPr>
        <w:t>Legge fondamentale</w:t>
      </w:r>
      <w:r>
        <w:t xml:space="preserve">: </w:t>
      </w:r>
      <w:r>
        <w:rPr>
          <w:highlight w:val="cyan"/>
        </w:rPr>
        <w:t>la qualità di un prodotto è inversamente proporzionale alla variabilità del processo</w:t>
      </w:r>
      <w:r>
        <w:t>. Per migliorare la qualità occorre ridurre la variabilità del processo produttivo.</w:t>
      </w:r>
    </w:p>
    <w:p w14:paraId="3C79D4B9" w14:textId="77777777" w:rsidR="00CB0EF5" w:rsidRPr="00F1190B" w:rsidRDefault="00CB0EF5" w:rsidP="00CB0EF5">
      <w:pPr>
        <w:pStyle w:val="Corpotesto"/>
      </w:pPr>
      <w:r>
        <w:rPr>
          <w:b/>
          <w:bCs/>
        </w:rPr>
        <w:t>Caratteristiche di qualità</w:t>
      </w:r>
      <w:r>
        <w:t xml:space="preserve">: </w:t>
      </w:r>
      <w:r>
        <w:rPr>
          <w:b/>
          <w:bCs/>
        </w:rPr>
        <w:t>variabili</w:t>
      </w:r>
      <w:r>
        <w:t xml:space="preserve"> </w:t>
      </w:r>
      <w:r>
        <w:rPr>
          <w:highlight w:val="cyan"/>
        </w:rPr>
        <w:t>(misurabili numericamente)</w:t>
      </w:r>
      <w:r>
        <w:t xml:space="preserve"> oppure </w:t>
      </w:r>
      <w:r>
        <w:rPr>
          <w:b/>
          <w:bCs/>
        </w:rPr>
        <w:t>attributi</w:t>
      </w:r>
      <w:r>
        <w:t xml:space="preserve"> </w:t>
      </w:r>
      <w:r>
        <w:rPr>
          <w:highlight w:val="cyan"/>
        </w:rPr>
        <w:t>(giudizio binario)</w:t>
      </w:r>
      <w:r>
        <w:t>.</w:t>
      </w:r>
    </w:p>
    <w:p w14:paraId="28E287EA" w14:textId="77777777" w:rsidR="00CB0EF5" w:rsidRPr="00F1190B" w:rsidRDefault="00CB0EF5" w:rsidP="00CB0EF5">
      <w:pPr>
        <w:pStyle w:val="Corpotesto"/>
      </w:pPr>
      <w:r>
        <w:rPr>
          <w:b/>
          <w:bCs/>
        </w:rPr>
        <w:t>Cause di variabilità</w:t>
      </w:r>
      <w:r>
        <w:t>:</w:t>
      </w:r>
    </w:p>
    <w:p w14:paraId="1584D328" w14:textId="77777777" w:rsidR="00CB0EF5" w:rsidRPr="00F1190B" w:rsidRDefault="00CB0EF5" w:rsidP="00CB0EF5">
      <w:pPr>
        <w:pStyle w:val="Compact"/>
        <w:numPr>
          <w:ilvl w:val="0"/>
          <w:numId w:val="42"/>
        </w:numPr>
      </w:pPr>
      <w:r>
        <w:rPr>
          <w:b/>
          <w:bCs/>
        </w:rPr>
        <w:t>Casuali / Normali / Comuni</w:t>
      </w:r>
      <w:r>
        <w:t xml:space="preserve"> (85%) — </w:t>
      </w:r>
      <w:r>
        <w:rPr>
          <w:highlight w:val="cyan"/>
        </w:rPr>
        <w:t>variazioni naturali e fisiologiche; processo sotto controllo statistico</w:t>
      </w:r>
      <w:r>
        <w:t>. Non si eliminano ma si riducono. Su di esse si interviene per migliorare.</w:t>
      </w:r>
    </w:p>
    <w:p w14:paraId="23A57362" w14:textId="77777777" w:rsidR="00CB0EF5" w:rsidRPr="00F1190B" w:rsidRDefault="00CB0EF5" w:rsidP="00CB0EF5">
      <w:pPr>
        <w:pStyle w:val="Compact"/>
        <w:numPr>
          <w:ilvl w:val="0"/>
          <w:numId w:val="42"/>
        </w:numPr>
      </w:pPr>
      <w:r>
        <w:rPr>
          <w:b/>
          <w:bCs/>
        </w:rPr>
        <w:t>Speciali / Attribuibili</w:t>
      </w:r>
      <w:r>
        <w:t xml:space="preserve"> (15%) — </w:t>
      </w:r>
      <w:r>
        <w:rPr>
          <w:highlight w:val="cyan"/>
        </w:rPr>
        <w:t>variazioni anomale da fattori identificabili</w:t>
      </w:r>
      <w:r>
        <w:t xml:space="preserve"> (errore operatore, guasto, materiale non conforme); </w:t>
      </w:r>
      <w:r>
        <w:rPr>
          <w:highlight w:val="cyan"/>
        </w:rPr>
        <w:t>processo fuori controllo</w:t>
      </w:r>
      <w:r>
        <w:t>. Occorre individuarle ed eliminarle per riportare il processo sotto controllo.</w:t>
      </w:r>
    </w:p>
    <w:p w14:paraId="1D4845E1" w14:textId="77777777" w:rsidR="00CB0EF5" w:rsidRPr="00F1190B" w:rsidRDefault="00CB0EF5" w:rsidP="00CB0EF5">
      <w:pPr>
        <w:pStyle w:val="Testodelblocco"/>
      </w:pPr>
      <w:r>
        <w:rPr>
          <w:b/>
          <w:bCs/>
        </w:rPr>
        <w:t>Controllo vs Miglioramento di un processo</w:t>
      </w:r>
      <w:r>
        <w:t xml:space="preserve">: il </w:t>
      </w:r>
      <w:r>
        <w:rPr>
          <w:b/>
          <w:bCs/>
        </w:rPr>
        <w:t>controllo</w:t>
      </w:r>
      <w:r>
        <w:t xml:space="preserve"> = </w:t>
      </w:r>
      <w:r>
        <w:rPr>
          <w:highlight w:val="cyan"/>
        </w:rPr>
        <w:t>eliminare le cause speciali</w:t>
      </w:r>
      <w:r>
        <w:t xml:space="preserve">. Il </w:t>
      </w:r>
      <w:r>
        <w:rPr>
          <w:b/>
          <w:bCs/>
        </w:rPr>
        <w:t>miglioramento</w:t>
      </w:r>
      <w:r>
        <w:t xml:space="preserve"> = </w:t>
      </w:r>
      <w:r>
        <w:rPr>
          <w:highlight w:val="cyan"/>
        </w:rPr>
        <w:t>ridurre la variabilità delle cause normali</w:t>
      </w:r>
      <w:r>
        <w:t>.</w:t>
      </w:r>
    </w:p>
    <w:p w14:paraId="78AD82F4" w14:textId="77777777" w:rsidR="00CB0EF5" w:rsidRPr="00F1190B" w:rsidRDefault="00CB0EF5" w:rsidP="00CB0EF5">
      <w:pPr>
        <w:pStyle w:val="FirstParagraph"/>
      </w:pPr>
      <w:r>
        <w:rPr>
          <w:b/>
          <w:bCs/>
        </w:rPr>
        <w:t>Limiti di specifica</w:t>
      </w:r>
      <w:r>
        <w:t xml:space="preserve"> (fissati in progettazione): </w:t>
      </w:r>
      <w:r>
        <w:rPr>
          <w:b/>
          <w:bCs/>
        </w:rPr>
        <w:t>USL</w:t>
      </w:r>
      <w:r>
        <w:t xml:space="preserve"> (</w:t>
      </w:r>
      <w:r>
        <w:rPr>
          <w:highlight w:val="cyan"/>
        </w:rPr>
        <w:t xml:space="preserve">Upper </w:t>
      </w:r>
      <w:proofErr w:type="spellStart"/>
      <w:r>
        <w:rPr>
          <w:highlight w:val="cyan"/>
        </w:rPr>
        <w:t>Specification</w:t>
      </w:r>
      <w:proofErr w:type="spellEnd"/>
      <w:r>
        <w:rPr>
          <w:highlight w:val="cyan"/>
        </w:rPr>
        <w:t xml:space="preserve"> Limit</w:t>
      </w:r>
      <w:r>
        <w:t xml:space="preserve">) e </w:t>
      </w:r>
      <w:r>
        <w:rPr>
          <w:b/>
          <w:bCs/>
        </w:rPr>
        <w:t>LSL</w:t>
      </w:r>
      <w:r>
        <w:t xml:space="preserve"> (</w:t>
      </w:r>
      <w:r>
        <w:rPr>
          <w:highlight w:val="cyan"/>
        </w:rPr>
        <w:t xml:space="preserve">Lower </w:t>
      </w:r>
      <w:proofErr w:type="spellStart"/>
      <w:r>
        <w:rPr>
          <w:highlight w:val="cyan"/>
        </w:rPr>
        <w:t>Specification</w:t>
      </w:r>
      <w:proofErr w:type="spellEnd"/>
      <w:r>
        <w:rPr>
          <w:highlight w:val="cyan"/>
        </w:rPr>
        <w:t xml:space="preserve"> Limit</w:t>
      </w:r>
      <w:r>
        <w:t xml:space="preserve">). </w:t>
      </w:r>
      <w:r>
        <w:rPr>
          <w:b/>
          <w:bCs/>
        </w:rPr>
        <w:t>Limiti di controllo</w:t>
      </w:r>
      <w:r>
        <w:t xml:space="preserve"> (</w:t>
      </w:r>
      <w:r>
        <w:rPr>
          <w:highlight w:val="cyan"/>
        </w:rPr>
        <w:t>calcolati dai dati del processo = μ ± 3σ</w:t>
      </w:r>
      <w:r>
        <w:t xml:space="preserve">): UCL e LCL. Usati nelle carte di controllo. </w:t>
      </w:r>
      <w:r>
        <w:rPr>
          <w:highlight w:val="cyan"/>
        </w:rPr>
        <w:t>Se una caratteristica varia entro LCL-UCL → variabilità controllata (solo cause normali) → processo stabile</w:t>
      </w:r>
      <w:r>
        <w:t>.</w:t>
      </w:r>
    </w:p>
    <w:bookmarkStart w:id="57" w:name="la-qualità-e-la-variabilità"/>
    <w:p w14:paraId="3385D004" w14:textId="77777777" w:rsidR="00CB0EF5" w:rsidRPr="00F1190B" w:rsidRDefault="00000000" w:rsidP="00CB0EF5">
      <w:r>
        <w:pict w14:anchorId="1F1841ED">
          <v:rect id="_x0000_s1047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  <w:bookmarkEnd w:id="57"/>
    </w:p>
    <w:p w14:paraId="2F89E938" w14:textId="77777777" w:rsidR="00CB0EF5" w:rsidRPr="00BE0185" w:rsidRDefault="00CB0EF5" w:rsidP="00CB0EF5">
      <w:pPr>
        <w:pStyle w:val="Titolo2"/>
      </w:pPr>
      <w:r>
        <w:t>Metodi statistici per il miglioramento</w:t>
      </w:r>
    </w:p>
    <w:p w14:paraId="58C4D2EC" w14:textId="77777777" w:rsidR="00CB0EF5" w:rsidRPr="00F1190B" w:rsidRDefault="00CB0EF5" w:rsidP="00CB0EF5">
      <w:pPr>
        <w:pStyle w:val="FirstParagraph"/>
      </w:pPr>
      <w:r>
        <w:t>Tre metodi, per collocazione nel processo:</w:t>
      </w:r>
    </w:p>
    <w:tbl>
      <w:tblPr>
        <w:tblStyle w:val="Table"/>
        <w:tblW w:w="50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CB0EF5" w:rsidRPr="00F1190B" w14:paraId="17832200" w14:textId="77777777" w:rsidTr="00C473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20" w:type="dxa"/>
            <w:tcBorders>
              <w:bottom w:val="single" w:sz="6" w:space="0" w:color="000000"/>
            </w:tcBorders>
          </w:tcPr>
          <w:p w14:paraId="11DC8FD0" w14:textId="77777777" w:rsidR="00CB0EF5" w:rsidRPr="00BE0185" w:rsidRDefault="00CB0EF5" w:rsidP="00C473C6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t>Metodo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</w:tcPr>
          <w:p w14:paraId="5585DD80" w14:textId="77777777" w:rsidR="00CB0EF5" w:rsidRPr="00BE0185" w:rsidRDefault="00CB0EF5" w:rsidP="00C473C6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t>Collocazione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</w:tcPr>
          <w:p w14:paraId="0B8F6785" w14:textId="77777777" w:rsidR="00CB0EF5" w:rsidRPr="00BE0185" w:rsidRDefault="00CB0EF5" w:rsidP="00C473C6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t>Obiettivo</w:t>
            </w:r>
          </w:p>
        </w:tc>
      </w:tr>
      <w:tr w:rsidR="00CB0EF5" w:rsidRPr="00F1190B" w14:paraId="672582ED" w14:textId="77777777" w:rsidTr="00C473C6">
        <w:tc>
          <w:tcPr>
            <w:tcW w:w="3120" w:type="dxa"/>
          </w:tcPr>
          <w:p w14:paraId="1CBC14D2" w14:textId="77777777" w:rsidR="00CB0EF5" w:rsidRPr="00BE0185" w:rsidRDefault="00CB0EF5" w:rsidP="00C473C6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t>Campionamento in accettazione</w:t>
            </w:r>
          </w:p>
        </w:tc>
        <w:tc>
          <w:tcPr>
            <w:tcW w:w="3120" w:type="dxa"/>
          </w:tcPr>
          <w:p w14:paraId="76778651" w14:textId="77777777" w:rsidR="00CB0EF5" w:rsidRPr="00F1190B" w:rsidRDefault="00CB0EF5" w:rsidP="00C473C6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  <w:highlight w:val="cyan"/>
              </w:rPr>
              <w:t>ONLINE</w:t>
            </w:r>
            <w:r>
              <w:rPr>
                <w:rFonts w:eastAsia="Cambria"/>
              </w:rPr>
              <w:t xml:space="preserve"> (fine produzione)</w:t>
            </w:r>
          </w:p>
        </w:tc>
        <w:tc>
          <w:tcPr>
            <w:tcW w:w="3120" w:type="dxa"/>
          </w:tcPr>
          <w:p w14:paraId="6268BCF2" w14:textId="77777777" w:rsidR="00CB0EF5" w:rsidRPr="00CB0EF5" w:rsidRDefault="00CB0EF5" w:rsidP="00C473C6">
            <w:pPr>
              <w:pStyle w:val="Compact"/>
              <w:rPr>
                <w:rFonts w:ascii="Cambria" w:eastAsia="Cambria" w:hAnsi="Cambria"/>
                <w:highlight w:val="cyan"/>
              </w:rPr>
            </w:pPr>
            <w:r>
              <w:rPr>
                <w:rFonts w:eastAsia="Cambria"/>
                <w:highlight w:val="cyan"/>
              </w:rPr>
              <w:t>Evitare che prodotti difettosi arrivino al cliente</w:t>
            </w:r>
          </w:p>
        </w:tc>
      </w:tr>
      <w:tr w:rsidR="00CB0EF5" w:rsidRPr="00F1190B" w14:paraId="4726F83F" w14:textId="77777777" w:rsidTr="00C473C6">
        <w:tc>
          <w:tcPr>
            <w:tcW w:w="3120" w:type="dxa"/>
          </w:tcPr>
          <w:p w14:paraId="251CB755" w14:textId="77777777" w:rsidR="00CB0EF5" w:rsidRPr="00BE0185" w:rsidRDefault="00CB0EF5" w:rsidP="00C473C6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t>SPC</w:t>
            </w:r>
          </w:p>
        </w:tc>
        <w:tc>
          <w:tcPr>
            <w:tcW w:w="3120" w:type="dxa"/>
          </w:tcPr>
          <w:p w14:paraId="59B20DAC" w14:textId="77777777" w:rsidR="00CB0EF5" w:rsidRPr="00F1190B" w:rsidRDefault="00CB0EF5" w:rsidP="00C473C6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  <w:highlight w:val="cyan"/>
              </w:rPr>
              <w:t>ONLINE</w:t>
            </w:r>
            <w:r>
              <w:rPr>
                <w:rFonts w:eastAsia="Cambria"/>
              </w:rPr>
              <w:t xml:space="preserve"> (durante produzione)</w:t>
            </w:r>
          </w:p>
        </w:tc>
        <w:tc>
          <w:tcPr>
            <w:tcW w:w="3120" w:type="dxa"/>
          </w:tcPr>
          <w:p w14:paraId="1EC35880" w14:textId="77777777" w:rsidR="00CB0EF5" w:rsidRPr="00CB0EF5" w:rsidRDefault="00CB0EF5" w:rsidP="00C473C6">
            <w:pPr>
              <w:pStyle w:val="Compact"/>
              <w:rPr>
                <w:rFonts w:ascii="Cambria" w:eastAsia="Cambria" w:hAnsi="Cambria"/>
                <w:highlight w:val="cyan"/>
              </w:rPr>
            </w:pPr>
            <w:r>
              <w:rPr>
                <w:rFonts w:eastAsia="Cambria"/>
                <w:highlight w:val="cyan"/>
              </w:rPr>
              <w:t>Mantenere il processo sotto controllo</w:t>
            </w:r>
          </w:p>
        </w:tc>
      </w:tr>
      <w:tr w:rsidR="00CB0EF5" w:rsidRPr="00F1190B" w14:paraId="7AD3BADF" w14:textId="77777777" w:rsidTr="00C473C6">
        <w:tc>
          <w:tcPr>
            <w:tcW w:w="3120" w:type="dxa"/>
          </w:tcPr>
          <w:p w14:paraId="3D0E693F" w14:textId="77777777" w:rsidR="00CB0EF5" w:rsidRPr="00BE0185" w:rsidRDefault="00CB0EF5" w:rsidP="00C473C6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t>Esperimenti Programmati</w:t>
            </w:r>
          </w:p>
        </w:tc>
        <w:tc>
          <w:tcPr>
            <w:tcW w:w="3120" w:type="dxa"/>
          </w:tcPr>
          <w:p w14:paraId="6CE85FFD" w14:textId="77777777" w:rsidR="00CB0EF5" w:rsidRPr="00F1190B" w:rsidRDefault="00CB0EF5" w:rsidP="00C473C6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  <w:highlight w:val="cyan"/>
              </w:rPr>
              <w:t>OFFLINE</w:t>
            </w:r>
            <w:r>
              <w:rPr>
                <w:rFonts w:eastAsia="Cambria"/>
              </w:rPr>
              <w:t xml:space="preserve"> (fuori produzione)</w:t>
            </w:r>
          </w:p>
        </w:tc>
        <w:tc>
          <w:tcPr>
            <w:tcW w:w="3120" w:type="dxa"/>
          </w:tcPr>
          <w:p w14:paraId="29B75F67" w14:textId="77777777" w:rsidR="00CB0EF5" w:rsidRPr="00CB0EF5" w:rsidRDefault="00CB0EF5" w:rsidP="00C473C6">
            <w:pPr>
              <w:pStyle w:val="Compact"/>
              <w:rPr>
                <w:rFonts w:ascii="Cambria" w:eastAsia="Cambria" w:hAnsi="Cambria"/>
                <w:highlight w:val="cyan"/>
              </w:rPr>
            </w:pPr>
            <w:r>
              <w:rPr>
                <w:rFonts w:eastAsia="Cambria"/>
                <w:highlight w:val="cyan"/>
              </w:rPr>
              <w:t>Ridurre la variabilità alla fonte, in progettazione</w:t>
            </w:r>
          </w:p>
        </w:tc>
      </w:tr>
    </w:tbl>
    <w:p w14:paraId="27B4EFA7" w14:textId="77777777" w:rsidR="00CB0EF5" w:rsidRPr="00F1190B" w:rsidRDefault="00CB0EF5" w:rsidP="00CB0EF5">
      <w:pPr>
        <w:pStyle w:val="Corpotesto"/>
      </w:pPr>
      <w:r>
        <w:rPr>
          <w:b/>
          <w:bCs/>
        </w:rPr>
        <w:t>Confronto in termini di variabilità</w:t>
      </w:r>
      <w:r>
        <w:t xml:space="preserve">: </w:t>
      </w:r>
      <w:r>
        <w:rPr>
          <w:highlight w:val="cyan"/>
        </w:rPr>
        <w:t>campionamento</w:t>
      </w:r>
      <w:r>
        <w:t xml:space="preserve"> (</w:t>
      </w:r>
      <w:r>
        <w:rPr>
          <w:highlight w:val="cyan"/>
        </w:rPr>
        <w:t>σ=4</w:t>
      </w:r>
      <w:r>
        <w:t xml:space="preserve">, variabilità maggiore) → </w:t>
      </w:r>
      <w:r>
        <w:rPr>
          <w:highlight w:val="cyan"/>
        </w:rPr>
        <w:t>SPC</w:t>
      </w:r>
      <w:r>
        <w:t xml:space="preserve"> (</w:t>
      </w:r>
      <w:r>
        <w:rPr>
          <w:highlight w:val="cyan"/>
        </w:rPr>
        <w:t>σ=3</w:t>
      </w:r>
      <w:r>
        <w:t xml:space="preserve">) → </w:t>
      </w:r>
      <w:r>
        <w:rPr>
          <w:highlight w:val="cyan"/>
        </w:rPr>
        <w:t>esperimenti programmati</w:t>
      </w:r>
      <w:r>
        <w:t xml:space="preserve"> (</w:t>
      </w:r>
      <w:r>
        <w:rPr>
          <w:highlight w:val="cyan"/>
        </w:rPr>
        <w:t>σ=2</w:t>
      </w:r>
      <w:r>
        <w:t xml:space="preserve">, variabilità minore). </w:t>
      </w:r>
      <w:r>
        <w:rPr>
          <w:highlight w:val="cyan"/>
        </w:rPr>
        <w:t>L’SPC è il miglior compromesso tra tempo/costi investiti e risultati ottenuti</w:t>
      </w:r>
      <w:r>
        <w:t>.</w:t>
      </w:r>
    </w:p>
    <w:p w14:paraId="635AB035" w14:textId="77777777" w:rsidR="00CB0EF5" w:rsidRPr="00F1190B" w:rsidRDefault="00CB0EF5" w:rsidP="00CB0EF5">
      <w:pPr>
        <w:pStyle w:val="Corpotesto"/>
      </w:pPr>
      <w:r>
        <w:rPr>
          <w:b/>
          <w:bCs/>
        </w:rPr>
        <w:lastRenderedPageBreak/>
        <w:t>Campionamento in accettazione</w:t>
      </w:r>
      <w:r>
        <w:t xml:space="preserve"> = </w:t>
      </w:r>
      <w:r>
        <w:rPr>
          <w:highlight w:val="cyan"/>
        </w:rPr>
        <w:t>ispezionare un campione scelto a caso da un lotto</w:t>
      </w:r>
      <w:r>
        <w:t xml:space="preserve">. Strumento di verifica su prodotti finiti e materie prime. </w:t>
      </w:r>
      <w:r>
        <w:rPr>
          <w:highlight w:val="cyan"/>
        </w:rPr>
        <w:t>Limite: garantisce solo che un difetto non raggiunga il cliente ma non lo previene</w:t>
      </w:r>
      <w:r>
        <w:t>. In disuso nelle aziende più evolute.</w:t>
      </w:r>
    </w:p>
    <w:p w14:paraId="2926D997" w14:textId="77777777" w:rsidR="00CB0EF5" w:rsidRPr="00F1190B" w:rsidRDefault="00CB0EF5" w:rsidP="00CB0EF5">
      <w:pPr>
        <w:pStyle w:val="Corpotesto"/>
      </w:pPr>
      <w:r>
        <w:rPr>
          <w:b/>
          <w:bCs/>
        </w:rPr>
        <w:t>SPC</w:t>
      </w:r>
      <w:r>
        <w:t xml:space="preserve"> (Controllo Statistico di Processo) = </w:t>
      </w:r>
      <w:r>
        <w:rPr>
          <w:highlight w:val="cyan"/>
        </w:rPr>
        <w:t>monitoraggio in tempo reale del processo tramite misurazioni statistiche. Diretto (si misurano caratteristiche del prodotto) o indiretto (si controllano parametri del processo)</w:t>
      </w:r>
      <w:r>
        <w:t xml:space="preserve">. </w:t>
      </w:r>
    </w:p>
    <w:p w14:paraId="527644C1" w14:textId="77777777" w:rsidR="00CB0EF5" w:rsidRPr="00F1190B" w:rsidRDefault="00CB0EF5" w:rsidP="00CB0EF5">
      <w:pPr>
        <w:pStyle w:val="Corpotesto"/>
      </w:pPr>
      <w:r>
        <w:rPr>
          <w:b/>
          <w:bCs/>
        </w:rPr>
        <w:t>Esperimento Programmato</w:t>
      </w:r>
      <w:r>
        <w:t xml:space="preserve"> = </w:t>
      </w:r>
      <w:r>
        <w:rPr>
          <w:highlight w:val="cyan"/>
        </w:rPr>
        <w:t>strumento OFFLINE usato in progettazione per capire quali fattori/variabili influenzano di più l’esito negativo</w:t>
      </w:r>
      <w:r>
        <w:t xml:space="preserve"> e individuare i valori ottimali delle variabili controllabili per ottenere la minore variabilità possibile.</w:t>
      </w:r>
    </w:p>
    <w:bookmarkStart w:id="58" w:name="metodi-statistici-per-il-miglioramento"/>
    <w:p w14:paraId="1E388438" w14:textId="77777777" w:rsidR="00CB0EF5" w:rsidRPr="00F1190B" w:rsidRDefault="00000000" w:rsidP="00CB0EF5">
      <w:r>
        <w:pict w14:anchorId="00A5F565">
          <v:rect id="_x0000_s1046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  <w:bookmarkEnd w:id="58"/>
    </w:p>
    <w:p w14:paraId="79352597" w14:textId="77777777" w:rsidR="00CB0EF5" w:rsidRPr="00BE0185" w:rsidRDefault="00CB0EF5" w:rsidP="00CB0EF5">
      <w:pPr>
        <w:pStyle w:val="Titolo2"/>
      </w:pPr>
      <w:r>
        <w:t>Deviazione standard e distribuzioni</w:t>
      </w:r>
    </w:p>
    <w:p w14:paraId="06F01C7A" w14:textId="77777777" w:rsidR="00CB0EF5" w:rsidRPr="00F1190B" w:rsidRDefault="00CB0EF5" w:rsidP="00CB0EF5">
      <w:pPr>
        <w:pStyle w:val="FirstParagraph"/>
      </w:pPr>
      <w:r>
        <w:rPr>
          <w:b/>
          <w:bCs/>
        </w:rPr>
        <w:t>Deviazione standard</w:t>
      </w:r>
      <w:r>
        <w:t xml:space="preserve"> (σ) = </w:t>
      </w:r>
      <w:r>
        <w:rPr>
          <w:highlight w:val="cyan"/>
        </w:rPr>
        <w:t>misura della dispersione nella popolazione</w:t>
      </w:r>
      <w:r>
        <w:t>. σ elevata → Gaussiana più bassa e allargata; σ bassa → più alta e stretta.</w:t>
      </w:r>
    </w:p>
    <w:p w14:paraId="4481294B" w14:textId="77777777" w:rsidR="00CB0EF5" w:rsidRPr="00F1190B" w:rsidRDefault="00CB0EF5" w:rsidP="00CB0EF5">
      <w:pPr>
        <w:pStyle w:val="Corpotesto"/>
      </w:pPr>
      <w:r>
        <w:rPr>
          <w:b/>
          <w:bCs/>
        </w:rPr>
        <w:t>Limiti di controllo</w:t>
      </w:r>
      <w:r>
        <w:t xml:space="preserve">: UCL = </w:t>
      </w:r>
      <w:r>
        <w:rPr>
          <w:highlight w:val="cyan"/>
        </w:rPr>
        <w:t xml:space="preserve">μ + </w:t>
      </w:r>
      <w:proofErr w:type="spellStart"/>
      <w:r>
        <w:rPr>
          <w:highlight w:val="cyan"/>
        </w:rPr>
        <w:t>t·σ</w:t>
      </w:r>
      <w:proofErr w:type="spellEnd"/>
      <w:r>
        <w:t xml:space="preserve">; LCL = μ − </w:t>
      </w:r>
      <w:proofErr w:type="spellStart"/>
      <w:r>
        <w:t>t·σ</w:t>
      </w:r>
      <w:proofErr w:type="spellEnd"/>
      <w:r>
        <w:t xml:space="preserve"> (</w:t>
      </w:r>
      <w:r>
        <w:rPr>
          <w:highlight w:val="cyan"/>
        </w:rPr>
        <w:t>tipicamente t=3</w:t>
      </w:r>
      <w:r>
        <w:t>).</w:t>
      </w:r>
    </w:p>
    <w:p w14:paraId="2A1A0C32" w14:textId="77777777" w:rsidR="00CB0EF5" w:rsidRPr="00F1190B" w:rsidRDefault="00CB0EF5" w:rsidP="00CB0EF5">
      <w:pPr>
        <w:pStyle w:val="Corpotesto"/>
      </w:pPr>
      <w:r>
        <w:rPr>
          <w:b/>
          <w:bCs/>
        </w:rPr>
        <w:t>Percentuali fondamentali</w:t>
      </w:r>
      <w:r>
        <w:t>: - μ ± 1σ → 68% dei prodotti nei limiti - μ ± 2σ → 95% - μ ± 3σ → 99,73% (standard SPC) - μ ± 6σ → 99,9999% → Six Sigma (Motorola, anni ’80: probabilità difetti praticamente nulla)</w:t>
      </w:r>
    </w:p>
    <w:p w14:paraId="4452ADDC" w14:textId="77777777" w:rsidR="00CB0EF5" w:rsidRPr="00F1190B" w:rsidRDefault="00CB0EF5" w:rsidP="00CB0EF5">
      <w:pPr>
        <w:pStyle w:val="Corpotesto"/>
      </w:pPr>
      <w:r>
        <w:rPr>
          <w:b/>
          <w:bCs/>
        </w:rPr>
        <w:t>Disuguaglianza di Chebyshev</w:t>
      </w:r>
      <w:r>
        <w:t xml:space="preserve">: </w:t>
      </w:r>
      <w:proofErr w:type="gramStart"/>
      <w:r>
        <w:rPr>
          <w:highlight w:val="cyan"/>
        </w:rPr>
        <w:t>P(</w:t>
      </w:r>
      <w:proofErr w:type="gramEnd"/>
      <w:r>
        <w:rPr>
          <w:highlight w:val="cyan"/>
        </w:rPr>
        <w:t xml:space="preserve">x ∈ [x̄ ± </w:t>
      </w:r>
      <w:proofErr w:type="spellStart"/>
      <w:r>
        <w:rPr>
          <w:highlight w:val="cyan"/>
        </w:rPr>
        <w:t>tσ</w:t>
      </w:r>
      <w:proofErr w:type="spellEnd"/>
      <w:r>
        <w:rPr>
          <w:highlight w:val="cyan"/>
        </w:rPr>
        <w:t>]) &gt; 1 − 1/t²</w:t>
      </w:r>
      <w:r>
        <w:t xml:space="preserve"> (valida per qualsiasi distribuzione).</w:t>
      </w:r>
    </w:p>
    <w:p w14:paraId="32E4A6A4" w14:textId="77777777" w:rsidR="00CB0EF5" w:rsidRPr="00F1190B" w:rsidRDefault="00CB0EF5" w:rsidP="00CB0EF5">
      <w:pPr>
        <w:pStyle w:val="Corpotesto"/>
      </w:pPr>
      <w:r>
        <w:rPr>
          <w:b/>
          <w:bCs/>
        </w:rPr>
        <w:t>Distribuzioni</w:t>
      </w:r>
      <w:r>
        <w:t xml:space="preserve">: </w:t>
      </w:r>
      <w:r>
        <w:rPr>
          <w:highlight w:val="cyan"/>
        </w:rPr>
        <w:t>normale, binomiale, Poisson</w:t>
      </w:r>
      <w:r>
        <w:t>.</w:t>
      </w:r>
    </w:p>
    <w:bookmarkStart w:id="59" w:name="deviazione-standard-e-distribuzioni"/>
    <w:p w14:paraId="08D9B3A1" w14:textId="77777777" w:rsidR="00CB0EF5" w:rsidRPr="00F1190B" w:rsidRDefault="00000000" w:rsidP="00CB0EF5">
      <w:r>
        <w:pict w14:anchorId="79C3E46D">
          <v:rect id="_x0000_s1045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  <w:bookmarkEnd w:id="59"/>
    </w:p>
    <w:p w14:paraId="22CCD6FF" w14:textId="77777777" w:rsidR="00CB0EF5" w:rsidRPr="00BE0185" w:rsidRDefault="00CB0EF5" w:rsidP="00CB0EF5">
      <w:pPr>
        <w:pStyle w:val="Titolo2"/>
      </w:pPr>
      <w:r>
        <w:t>Carte di controllo</w:t>
      </w:r>
    </w:p>
    <w:p w14:paraId="2760AE42" w14:textId="77777777" w:rsidR="00CB0EF5" w:rsidRPr="00F1190B" w:rsidRDefault="00CB0EF5" w:rsidP="00CB0EF5">
      <w:pPr>
        <w:pStyle w:val="FirstParagraph"/>
      </w:pPr>
      <w:r>
        <w:rPr>
          <w:b/>
          <w:bCs/>
        </w:rPr>
        <w:t>Carta di controllo</w:t>
      </w:r>
      <w:r>
        <w:t xml:space="preserve"> = </w:t>
      </w:r>
      <w:r>
        <w:rPr>
          <w:highlight w:val="cyan"/>
        </w:rPr>
        <w:t>diagramma che rappresenta l’evoluzione nel tempo di una caratteristica di qualità per accertare che la misura rimanga entro LCL ↔ UCL</w:t>
      </w:r>
      <w:r>
        <w:t>. Principale tecnica dell’SPC.</w:t>
      </w:r>
    </w:p>
    <w:p w14:paraId="4309E79A" w14:textId="77777777" w:rsidR="00CB0EF5" w:rsidRPr="00F1190B" w:rsidRDefault="00CB0EF5" w:rsidP="00CB0EF5">
      <w:pPr>
        <w:pStyle w:val="Corpotesto"/>
      </w:pPr>
      <w:r>
        <w:rPr>
          <w:b/>
          <w:bCs/>
        </w:rPr>
        <w:t>Struttura</w:t>
      </w:r>
      <w:r>
        <w:t xml:space="preserve">: </w:t>
      </w:r>
      <w:r>
        <w:rPr>
          <w:highlight w:val="cyan"/>
        </w:rPr>
        <w:t>asse x = tempo; asse y = caratteristica; linea CL</w:t>
      </w:r>
      <w:r>
        <w:t xml:space="preserve"> (media); UCL; LCL.</w:t>
      </w:r>
    </w:p>
    <w:p w14:paraId="6E06DFAD" w14:textId="77777777" w:rsidR="00CB0EF5" w:rsidRPr="00F1190B" w:rsidRDefault="00CB0EF5" w:rsidP="00CB0EF5">
      <w:pPr>
        <w:pStyle w:val="Compact"/>
        <w:numPr>
          <w:ilvl w:val="0"/>
          <w:numId w:val="42"/>
        </w:numPr>
      </w:pPr>
      <w:r>
        <w:rPr>
          <w:b/>
          <w:bCs/>
        </w:rPr>
        <w:t>Processo SOTTO CONTROLLO</w:t>
      </w:r>
      <w:r>
        <w:t xml:space="preserve">: </w:t>
      </w:r>
      <w:r>
        <w:rPr>
          <w:highlight w:val="cyan"/>
        </w:rPr>
        <w:t>tutti i punti entro i limiti, nessun andamento anomalo</w:t>
      </w:r>
      <w:r>
        <w:t>.</w:t>
      </w:r>
    </w:p>
    <w:p w14:paraId="18BFDCCC" w14:textId="77777777" w:rsidR="00CB0EF5" w:rsidRPr="00F1190B" w:rsidRDefault="00CB0EF5" w:rsidP="00CB0EF5">
      <w:pPr>
        <w:pStyle w:val="Compact"/>
        <w:numPr>
          <w:ilvl w:val="0"/>
          <w:numId w:val="42"/>
        </w:numPr>
      </w:pPr>
      <w:r>
        <w:rPr>
          <w:b/>
          <w:bCs/>
        </w:rPr>
        <w:t>Processo FUORI CONTROLLO</w:t>
      </w:r>
      <w:r>
        <w:t xml:space="preserve">: </w:t>
      </w:r>
      <w:r>
        <w:rPr>
          <w:highlight w:val="cyan"/>
        </w:rPr>
        <w:t>punti fuori dai limiti, oppure punti</w:t>
      </w:r>
      <w:r>
        <w:t xml:space="preserve"> (anche se interni) </w:t>
      </w:r>
      <w:r>
        <w:rPr>
          <w:highlight w:val="cyan"/>
        </w:rPr>
        <w:t>disposti in modo anomalo</w:t>
      </w:r>
      <w:r>
        <w:t xml:space="preserve"> (andamenti ciclici, derive, tendenze crescenti/decrescenti, stratificazioni, miscele).</w:t>
      </w:r>
    </w:p>
    <w:p w14:paraId="138635C9" w14:textId="77777777" w:rsidR="00CB0EF5" w:rsidRPr="00F1190B" w:rsidRDefault="00CB0EF5" w:rsidP="00CB0EF5">
      <w:pPr>
        <w:pStyle w:val="FirstParagraph"/>
      </w:pPr>
      <w:r>
        <w:rPr>
          <w:b/>
          <w:bCs/>
        </w:rPr>
        <w:t>Tipi di carte</w:t>
      </w:r>
      <w:r>
        <w:t xml:space="preserve">: - Per variabili → X̄-R (media e range), X̄-S. - Per attributi → p (frazione difettosi), </w:t>
      </w:r>
      <w:proofErr w:type="spellStart"/>
      <w:r>
        <w:t>np</w:t>
      </w:r>
      <w:proofErr w:type="spellEnd"/>
      <w:r>
        <w:t xml:space="preserve"> (numero difettosi), c (difetti per unità), u.</w:t>
      </w:r>
    </w:p>
    <w:p w14:paraId="1ECA11ED" w14:textId="77777777" w:rsidR="00CB0EF5" w:rsidRPr="00F1190B" w:rsidRDefault="00CB0EF5" w:rsidP="00CB0EF5">
      <w:pPr>
        <w:pStyle w:val="Corpotesto"/>
      </w:pPr>
      <w:r>
        <w:rPr>
          <w:b/>
          <w:bCs/>
        </w:rPr>
        <w:t>Usata in due momenti</w:t>
      </w:r>
      <w:r>
        <w:t xml:space="preserve">: in fase di </w:t>
      </w:r>
      <w:r>
        <w:rPr>
          <w:b/>
          <w:bCs/>
        </w:rPr>
        <w:t>progettazione</w:t>
      </w:r>
      <w:r>
        <w:t xml:space="preserve"> (</w:t>
      </w:r>
      <w:r>
        <w:rPr>
          <w:highlight w:val="cyan"/>
        </w:rPr>
        <w:t>analisi del processo</w:t>
      </w:r>
      <w:r>
        <w:t xml:space="preserve">: capire i fattori che lo influenzano) e in fase di </w:t>
      </w:r>
      <w:r>
        <w:rPr>
          <w:b/>
          <w:bCs/>
        </w:rPr>
        <w:t>produzione</w:t>
      </w:r>
      <w:r>
        <w:t xml:space="preserve"> (</w:t>
      </w:r>
      <w:r>
        <w:rPr>
          <w:highlight w:val="cyan"/>
        </w:rPr>
        <w:t>controllo del processo</w:t>
      </w:r>
      <w:r>
        <w:t>: mantenerlo stabile).</w:t>
      </w:r>
    </w:p>
    <w:p w14:paraId="491E6386" w14:textId="77777777" w:rsidR="00CB0EF5" w:rsidRPr="00F1190B" w:rsidRDefault="00CB0EF5" w:rsidP="00CB0EF5">
      <w:pPr>
        <w:pStyle w:val="Corpotesto"/>
      </w:pPr>
      <w:r>
        <w:lastRenderedPageBreak/>
        <w:t>Indici di capacità del processo:</w:t>
      </w:r>
    </w:p>
    <w:tbl>
      <w:tblPr>
        <w:tblStyle w:val="Table"/>
        <w:tblW w:w="50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CB0EF5" w:rsidRPr="00F1190B" w14:paraId="19AD5C68" w14:textId="77777777" w:rsidTr="00C473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39" w:type="dxa"/>
            <w:tcBorders>
              <w:bottom w:val="single" w:sz="6" w:space="0" w:color="000000"/>
            </w:tcBorders>
          </w:tcPr>
          <w:p w14:paraId="2DDCEEE3" w14:textId="77777777" w:rsidR="00CB0EF5" w:rsidRPr="00BE0185" w:rsidRDefault="00CB0EF5" w:rsidP="00C473C6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t>Indice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</w:tcPr>
          <w:p w14:paraId="0FC540D3" w14:textId="77777777" w:rsidR="00CB0EF5" w:rsidRPr="00BE0185" w:rsidRDefault="00CB0EF5" w:rsidP="00C473C6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t>Misura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</w:tcPr>
          <w:p w14:paraId="1D54A7A3" w14:textId="77777777" w:rsidR="00CB0EF5" w:rsidRPr="00BE0185" w:rsidRDefault="00CB0EF5" w:rsidP="00C473C6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t>Problema se basso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</w:tcPr>
          <w:p w14:paraId="53AFC88B" w14:textId="77777777" w:rsidR="00CB0EF5" w:rsidRPr="00BE0185" w:rsidRDefault="00CB0EF5" w:rsidP="00C473C6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t>Soluzione</w:t>
            </w:r>
          </w:p>
        </w:tc>
      </w:tr>
      <w:tr w:rsidR="00CB0EF5" w:rsidRPr="00F1190B" w14:paraId="5B0E15FD" w14:textId="77777777" w:rsidTr="00C473C6">
        <w:tc>
          <w:tcPr>
            <w:tcW w:w="2339" w:type="dxa"/>
          </w:tcPr>
          <w:p w14:paraId="2ABEC871" w14:textId="77777777" w:rsidR="00CB0EF5" w:rsidRPr="00F1190B" w:rsidRDefault="00CB0EF5" w:rsidP="00C473C6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  <w:b/>
                <w:bCs/>
              </w:rPr>
              <w:t>Cp</w:t>
            </w:r>
            <w:r>
              <w:rPr>
                <w:rFonts w:eastAsia="Cambria"/>
              </w:rPr>
              <w:t xml:space="preserve"> (capacità potenziale)</w:t>
            </w:r>
          </w:p>
        </w:tc>
        <w:tc>
          <w:tcPr>
            <w:tcW w:w="2340" w:type="dxa"/>
          </w:tcPr>
          <w:p w14:paraId="741C558A" w14:textId="77777777" w:rsidR="00CB0EF5" w:rsidRPr="00CB0EF5" w:rsidRDefault="00CB0EF5" w:rsidP="00C473C6">
            <w:pPr>
              <w:pStyle w:val="Compact"/>
              <w:rPr>
                <w:rFonts w:ascii="Cambria" w:eastAsia="Cambria" w:hAnsi="Cambria"/>
                <w:highlight w:val="cyan"/>
              </w:rPr>
            </w:pPr>
            <w:r>
              <w:rPr>
                <w:rFonts w:eastAsia="Cambria"/>
                <w:highlight w:val="cyan"/>
              </w:rPr>
              <w:t>Dispersione del processo rispetto alla tolleranza</w:t>
            </w:r>
          </w:p>
        </w:tc>
        <w:tc>
          <w:tcPr>
            <w:tcW w:w="2340" w:type="dxa"/>
          </w:tcPr>
          <w:p w14:paraId="7E0A7BB3" w14:textId="77777777" w:rsidR="00CB0EF5" w:rsidRPr="00184BCC" w:rsidRDefault="00CB0EF5" w:rsidP="00C473C6">
            <w:pPr>
              <w:pStyle w:val="Compact"/>
              <w:rPr>
                <w:rFonts w:ascii="Cambria" w:eastAsia="Cambria" w:hAnsi="Cambria"/>
                <w:highlight w:val="cyan"/>
              </w:rPr>
            </w:pPr>
            <w:r>
              <w:rPr>
                <w:rFonts w:eastAsia="Cambria"/>
                <w:highlight w:val="cyan"/>
              </w:rPr>
              <w:t>Campana troppo distesa</w:t>
            </w:r>
          </w:p>
        </w:tc>
        <w:tc>
          <w:tcPr>
            <w:tcW w:w="2340" w:type="dxa"/>
          </w:tcPr>
          <w:p w14:paraId="733889DF" w14:textId="77777777" w:rsidR="00CB0EF5" w:rsidRPr="00F1190B" w:rsidRDefault="00CB0EF5" w:rsidP="00C473C6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  <w:highlight w:val="cyan"/>
              </w:rPr>
              <w:t>Capire e ridurre le cause della dispersione</w:t>
            </w:r>
            <w:r>
              <w:rPr>
                <w:rFonts w:eastAsia="Cambria"/>
              </w:rPr>
              <w:t xml:space="preserve"> (più difficile)</w:t>
            </w:r>
          </w:p>
        </w:tc>
      </w:tr>
      <w:tr w:rsidR="00CB0EF5" w:rsidRPr="00F1190B" w14:paraId="5C1A5A30" w14:textId="77777777" w:rsidTr="00C473C6">
        <w:tc>
          <w:tcPr>
            <w:tcW w:w="2339" w:type="dxa"/>
          </w:tcPr>
          <w:p w14:paraId="466E6CFE" w14:textId="77777777" w:rsidR="00CB0EF5" w:rsidRPr="00F1190B" w:rsidRDefault="00CB0EF5" w:rsidP="00C473C6">
            <w:pPr>
              <w:pStyle w:val="Compact"/>
              <w:rPr>
                <w:rFonts w:ascii="Cambria" w:eastAsia="Cambria" w:hAnsi="Cambria"/>
              </w:rPr>
            </w:pPr>
            <w:proofErr w:type="spellStart"/>
            <w:r>
              <w:rPr>
                <w:rFonts w:eastAsia="Cambria"/>
                <w:b/>
                <w:bCs/>
              </w:rPr>
              <w:t>Cpk</w:t>
            </w:r>
            <w:proofErr w:type="spellEnd"/>
            <w:r>
              <w:rPr>
                <w:rFonts w:eastAsia="Cambria"/>
              </w:rPr>
              <w:t xml:space="preserve"> (capacità di processo)</w:t>
            </w:r>
          </w:p>
        </w:tc>
        <w:tc>
          <w:tcPr>
            <w:tcW w:w="2340" w:type="dxa"/>
          </w:tcPr>
          <w:p w14:paraId="15581D33" w14:textId="77777777" w:rsidR="00CB0EF5" w:rsidRPr="00CB0EF5" w:rsidRDefault="00CB0EF5" w:rsidP="00C473C6">
            <w:pPr>
              <w:pStyle w:val="Compact"/>
              <w:rPr>
                <w:rFonts w:ascii="Cambria" w:eastAsia="Cambria" w:hAnsi="Cambria"/>
                <w:highlight w:val="cyan"/>
              </w:rPr>
            </w:pPr>
            <w:r>
              <w:rPr>
                <w:rFonts w:eastAsia="Cambria"/>
                <w:highlight w:val="cyan"/>
              </w:rPr>
              <w:t>Centratura del processo rispetto ai limiti</w:t>
            </w:r>
          </w:p>
        </w:tc>
        <w:tc>
          <w:tcPr>
            <w:tcW w:w="2340" w:type="dxa"/>
          </w:tcPr>
          <w:p w14:paraId="7064E798" w14:textId="77777777" w:rsidR="00CB0EF5" w:rsidRPr="00184BCC" w:rsidRDefault="00CB0EF5" w:rsidP="00C473C6">
            <w:pPr>
              <w:pStyle w:val="Compact"/>
              <w:rPr>
                <w:rFonts w:ascii="Cambria" w:eastAsia="Cambria" w:hAnsi="Cambria"/>
                <w:highlight w:val="cyan"/>
              </w:rPr>
            </w:pPr>
            <w:r>
              <w:rPr>
                <w:rFonts w:eastAsia="Cambria"/>
                <w:highlight w:val="cyan"/>
              </w:rPr>
              <w:t>Campana traslata rispetto alle tolleranze</w:t>
            </w:r>
          </w:p>
        </w:tc>
        <w:tc>
          <w:tcPr>
            <w:tcW w:w="2340" w:type="dxa"/>
          </w:tcPr>
          <w:p w14:paraId="6A15A9A7" w14:textId="77777777" w:rsidR="00CB0EF5" w:rsidRPr="00F1190B" w:rsidRDefault="00CB0EF5" w:rsidP="00C473C6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  <w:highlight w:val="cyan"/>
              </w:rPr>
              <w:t>Regolare parametri / cambiare utensile</w:t>
            </w:r>
            <w:r>
              <w:rPr>
                <w:rFonts w:eastAsia="Cambria"/>
              </w:rPr>
              <w:t xml:space="preserve"> (più facile)</w:t>
            </w:r>
          </w:p>
        </w:tc>
      </w:tr>
    </w:tbl>
    <w:p w14:paraId="7A02BA34" w14:textId="77777777" w:rsidR="00CB0EF5" w:rsidRPr="00F1190B" w:rsidRDefault="00CB0EF5" w:rsidP="00CB0EF5">
      <w:pPr>
        <w:pStyle w:val="Corpotesto"/>
      </w:pPr>
      <w:r>
        <w:rPr>
          <w:b/>
          <w:bCs/>
        </w:rPr>
        <w:t>Scala Cp</w:t>
      </w:r>
      <w:r>
        <w:t xml:space="preserve">: </w:t>
      </w:r>
      <w:r>
        <w:rPr>
          <w:highlight w:val="cyan"/>
        </w:rPr>
        <w:t>Cp&lt;1 → fuori controllo; 1&lt;Cp&lt;1,33 → accettabile; 1,33&lt;Cp&lt;1,67 → discreto; Cp&gt;1,67 → sotto controllo</w:t>
      </w:r>
      <w:r>
        <w:t>.</w:t>
      </w:r>
    </w:p>
    <w:bookmarkStart w:id="60" w:name="carte-di-controllo"/>
    <w:p w14:paraId="55AE43C4" w14:textId="77777777" w:rsidR="00CB0EF5" w:rsidRPr="00F1190B" w:rsidRDefault="00000000" w:rsidP="00CB0EF5">
      <w:r>
        <w:pict w14:anchorId="6B1F2767">
          <v:rect id="_x0000_s1044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  <w:bookmarkEnd w:id="60"/>
    </w:p>
    <w:p w14:paraId="196A9F2E" w14:textId="77777777" w:rsidR="00CB0EF5" w:rsidRPr="00BE0185" w:rsidRDefault="00CB0EF5" w:rsidP="00CB0EF5">
      <w:pPr>
        <w:pStyle w:val="Titolo2"/>
      </w:pPr>
      <w:r>
        <w:t>I 7 strumenti per il miglioramento</w:t>
      </w:r>
    </w:p>
    <w:p w14:paraId="2A696D8C" w14:textId="77777777" w:rsidR="00CB0EF5" w:rsidRPr="00F1190B" w:rsidRDefault="00CB0EF5" w:rsidP="00CB0EF5">
      <w:pPr>
        <w:pStyle w:val="FirstParagraph"/>
      </w:pPr>
      <w:r>
        <w:rPr>
          <w:b/>
          <w:bCs/>
        </w:rPr>
        <w:t>Strumenti per raccolta, trattamento e analisi dei dati</w:t>
      </w:r>
      <w:r>
        <w:t xml:space="preserve">; </w:t>
      </w:r>
      <w:r>
        <w:rPr>
          <w:highlight w:val="cyan"/>
        </w:rPr>
        <w:t>si usano</w:t>
      </w:r>
      <w:r>
        <w:t xml:space="preserve"> in modo coordinato, pianificato e sistematico </w:t>
      </w:r>
      <w:r>
        <w:rPr>
          <w:highlight w:val="cyan"/>
        </w:rPr>
        <w:t>per prendere decisioni basate su dati di fatto</w:t>
      </w:r>
      <w:r>
        <w:t>.</w:t>
      </w:r>
    </w:p>
    <w:p w14:paraId="299C526D" w14:textId="77777777" w:rsidR="00CB0EF5" w:rsidRPr="00F1190B" w:rsidRDefault="00CB0EF5" w:rsidP="00CB0EF5">
      <w:pPr>
        <w:pStyle w:val="Corpotesto"/>
      </w:pPr>
      <w:r>
        <w:t xml:space="preserve">1. </w:t>
      </w:r>
      <w:r>
        <w:rPr>
          <w:b/>
          <w:bCs/>
        </w:rPr>
        <w:t>Foglio di raccolta dati</w:t>
      </w:r>
      <w:r>
        <w:t xml:space="preserve"> — </w:t>
      </w:r>
      <w:r>
        <w:rPr>
          <w:highlight w:val="cyan"/>
        </w:rPr>
        <w:t>modulo strutturato per registrare ordinatamente i dati</w:t>
      </w:r>
      <w:r>
        <w:t>. Dev’essere semplice e provato prima dell’uso (chi lo prepara ≠ chi lo usa).</w:t>
      </w:r>
    </w:p>
    <w:p w14:paraId="6D12ECC5" w14:textId="77777777" w:rsidR="00CB0EF5" w:rsidRPr="00F1190B" w:rsidRDefault="00CB0EF5" w:rsidP="00CB0EF5">
      <w:pPr>
        <w:pStyle w:val="Corpotesto"/>
      </w:pPr>
      <w:r>
        <w:t xml:space="preserve">2. </w:t>
      </w:r>
      <w:r>
        <w:rPr>
          <w:b/>
          <w:bCs/>
        </w:rPr>
        <w:t>Stratificazione</w:t>
      </w:r>
      <w:r>
        <w:t xml:space="preserve"> = </w:t>
      </w:r>
      <w:r>
        <w:rPr>
          <w:highlight w:val="cyan"/>
        </w:rPr>
        <w:t>suddividere i dati in categorie omogenee</w:t>
      </w:r>
      <w:r>
        <w:t xml:space="preserve"> (per mese, macchina, operatore, turno, materiale…) </w:t>
      </w:r>
      <w:r>
        <w:rPr>
          <w:highlight w:val="cyan"/>
        </w:rPr>
        <w:t>per identificare quali categorie contribuiscono maggiormente al problema</w:t>
      </w:r>
      <w:r>
        <w:t>. Si affianca spesso all’istogramma.</w:t>
      </w:r>
    </w:p>
    <w:p w14:paraId="0A124538" w14:textId="77777777" w:rsidR="00CB0EF5" w:rsidRPr="00F1190B" w:rsidRDefault="00CB0EF5" w:rsidP="00CB0EF5">
      <w:pPr>
        <w:pStyle w:val="Corpotesto"/>
      </w:pPr>
      <w:r>
        <w:t xml:space="preserve">3. </w:t>
      </w:r>
      <w:r>
        <w:rPr>
          <w:b/>
          <w:bCs/>
        </w:rPr>
        <w:t>Istogramma</w:t>
      </w:r>
      <w:r>
        <w:t xml:space="preserve"> = </w:t>
      </w:r>
      <w:r>
        <w:rPr>
          <w:highlight w:val="cyan"/>
        </w:rPr>
        <w:t>grafico a barre che rappresenta la frequenza con cui compaiono i valori</w:t>
      </w:r>
      <w:r>
        <w:t xml:space="preserve">. Costruzione: (max−min) → intervalli di uguale ampiezza → conteggio valori per intervallo → colonne piene. </w:t>
      </w:r>
      <w:r>
        <w:rPr>
          <w:highlight w:val="cyan"/>
        </w:rPr>
        <w:t>Permette di osservare forma della distribuzione, tendenza centrale e dispersione</w:t>
      </w:r>
      <w:r>
        <w:t>.</w:t>
      </w:r>
    </w:p>
    <w:p w14:paraId="79F62E5C" w14:textId="77777777" w:rsidR="00CB0EF5" w:rsidRPr="00F1190B" w:rsidRDefault="00CB0EF5" w:rsidP="00CB0EF5">
      <w:pPr>
        <w:pStyle w:val="Corpotesto"/>
      </w:pPr>
      <w:r>
        <w:t xml:space="preserve">4. </w:t>
      </w:r>
      <w:r>
        <w:rPr>
          <w:b/>
          <w:bCs/>
        </w:rPr>
        <w:t>Analisi di Pareto</w:t>
      </w:r>
      <w:r>
        <w:t xml:space="preserve"> = </w:t>
      </w:r>
      <w:r>
        <w:rPr>
          <w:highlight w:val="cyan"/>
        </w:rPr>
        <w:t>il 20% delle cause è responsabile dell’80% dei risultati</w:t>
      </w:r>
      <w:r>
        <w:t xml:space="preserve">. Ordina difetti o cause dalla più frequente alla meno frequente. </w:t>
      </w:r>
      <w:r>
        <w:rPr>
          <w:highlight w:val="cyan"/>
        </w:rPr>
        <w:t>Serve a stabilire le priorità di intervento</w:t>
      </w:r>
      <w:r>
        <w:t>.</w:t>
      </w:r>
    </w:p>
    <w:p w14:paraId="745D8863" w14:textId="77777777" w:rsidR="00CB0EF5" w:rsidRPr="00F1190B" w:rsidRDefault="00CB0EF5" w:rsidP="00CB0EF5">
      <w:pPr>
        <w:pStyle w:val="Corpotesto"/>
      </w:pPr>
      <w:r>
        <w:t xml:space="preserve">5. </w:t>
      </w:r>
      <w:r>
        <w:rPr>
          <w:b/>
          <w:bCs/>
        </w:rPr>
        <w:t>Diagramma di correlazione</w:t>
      </w:r>
      <w:r>
        <w:t xml:space="preserve"> = </w:t>
      </w:r>
      <w:r>
        <w:rPr>
          <w:highlight w:val="cyan"/>
        </w:rPr>
        <w:t>relazione di dipendenza tra due insiemi di dati</w:t>
      </w:r>
      <w:r>
        <w:t>. Tipi: lineare positiva, lineare negativa, curvilinea. NB: correlazione ≠ rapporto causa-effetto: due fattori correlati potrebbero essere entrambi causati da un terzo fattore.</w:t>
      </w:r>
    </w:p>
    <w:p w14:paraId="43463FAA" w14:textId="77777777" w:rsidR="00CB0EF5" w:rsidRPr="00F1190B" w:rsidRDefault="00CB0EF5" w:rsidP="00CB0EF5">
      <w:pPr>
        <w:pStyle w:val="Corpotesto"/>
      </w:pPr>
      <w:r>
        <w:t xml:space="preserve">6. </w:t>
      </w:r>
      <w:r>
        <w:rPr>
          <w:b/>
          <w:bCs/>
        </w:rPr>
        <w:t>Diagramma causa-effetto</w:t>
      </w:r>
      <w:r>
        <w:t xml:space="preserve"> (“a lisca di pesce” / Ishikawa) = </w:t>
      </w:r>
      <w:r>
        <w:rPr>
          <w:highlight w:val="cyan"/>
        </w:rPr>
        <w:t>identifica e organizza le possibili cause di un effetto, classificate in categorie</w:t>
      </w:r>
      <w:r>
        <w:t xml:space="preserve"> (le 4M: macchine, manodopera, materiali, metodi + ambiente, misure). Rende visibile il ragionamento sulle cause.</w:t>
      </w:r>
    </w:p>
    <w:p w14:paraId="790546C7" w14:textId="77777777" w:rsidR="00CB0EF5" w:rsidRPr="00F1190B" w:rsidRDefault="00CB0EF5" w:rsidP="00CB0EF5">
      <w:pPr>
        <w:pStyle w:val="Corpotesto"/>
      </w:pPr>
      <w:r>
        <w:t xml:space="preserve">7. </w:t>
      </w:r>
      <w:r>
        <w:rPr>
          <w:b/>
          <w:bCs/>
        </w:rPr>
        <w:t>Carte di controllo</w:t>
      </w:r>
      <w:r>
        <w:t>.</w:t>
      </w:r>
    </w:p>
    <w:p w14:paraId="5A794151" w14:textId="77777777" w:rsidR="00CB0EF5" w:rsidRPr="00F1190B" w:rsidRDefault="00CB0EF5" w:rsidP="00CB0EF5">
      <w:pPr>
        <w:pStyle w:val="Corpotesto"/>
      </w:pPr>
      <w:r>
        <w:rPr>
          <w:b/>
          <w:bCs/>
        </w:rPr>
        <w:t>Strumenti di supporto</w:t>
      </w:r>
      <w:r>
        <w:t xml:space="preserve">: </w:t>
      </w:r>
      <w:r>
        <w:rPr>
          <w:highlight w:val="cyan"/>
        </w:rPr>
        <w:t>benchmarking</w:t>
      </w:r>
      <w:r>
        <w:t xml:space="preserve"> (confronto con altre organizzazioni) e </w:t>
      </w:r>
      <w:r>
        <w:rPr>
          <w:highlight w:val="cyan"/>
        </w:rPr>
        <w:t>brainstorming</w:t>
      </w:r>
      <w:r>
        <w:t xml:space="preserve"> (lavoro di gruppo per far emergere idee e soluzioni).</w:t>
      </w:r>
    </w:p>
    <w:bookmarkStart w:id="61" w:name="i-7-strumenti-per-il-miglioramento"/>
    <w:p w14:paraId="78CBB888" w14:textId="77777777" w:rsidR="00CB0EF5" w:rsidRPr="00F1190B" w:rsidRDefault="00000000" w:rsidP="00CB0EF5">
      <w:r>
        <w:pict w14:anchorId="25377EE6">
          <v:rect id="_x0000_s1043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  <w:bookmarkEnd w:id="61"/>
    </w:p>
    <w:p w14:paraId="3A734021" w14:textId="77777777" w:rsidR="00CB0EF5" w:rsidRPr="00BE0185" w:rsidRDefault="00CB0EF5" w:rsidP="00CB0EF5">
      <w:pPr>
        <w:pStyle w:val="Titolo2"/>
      </w:pPr>
      <w:r>
        <w:t>Costi della qualità</w:t>
      </w:r>
    </w:p>
    <w:p w14:paraId="726FFC3D" w14:textId="77777777" w:rsidR="00CB0EF5" w:rsidRPr="00F1190B" w:rsidRDefault="00CB0EF5" w:rsidP="00CB0EF5">
      <w:pPr>
        <w:pStyle w:val="FirstParagraph"/>
      </w:pPr>
      <w:r>
        <w:rPr>
          <w:b/>
          <w:bCs/>
        </w:rPr>
        <w:t>Costi della qualità</w:t>
      </w:r>
      <w:r>
        <w:t xml:space="preserve"> = </w:t>
      </w:r>
      <w:r>
        <w:rPr>
          <w:highlight w:val="cyan"/>
        </w:rPr>
        <w:t>tutti i costi sostenuti dall’azienda per realizzare un prodotto che soddisfi le aspettative del cliente</w:t>
      </w:r>
      <w:r>
        <w:t xml:space="preserve">. Investire nella qualità non è solo un costo ma uno strumento di gestione. </w:t>
      </w:r>
      <w:r>
        <w:rPr>
          <w:highlight w:val="cyan"/>
        </w:rPr>
        <w:t>Obiettivo: trovare l’equilibrio tra costi di controllo e costi degli insuccessi</w:t>
      </w:r>
      <w:r>
        <w:t>.</w:t>
      </w:r>
    </w:p>
    <w:p w14:paraId="4D2CB096" w14:textId="77777777" w:rsidR="00CB0EF5" w:rsidRPr="00F1190B" w:rsidRDefault="00CB0EF5" w:rsidP="00CB0EF5">
      <w:pPr>
        <w:pStyle w:val="Corpotesto"/>
      </w:pPr>
      <w:r>
        <w:t>Quattro categorie:</w:t>
      </w:r>
    </w:p>
    <w:p w14:paraId="467F5138" w14:textId="77777777" w:rsidR="00CB0EF5" w:rsidRPr="00F1190B" w:rsidRDefault="00CB0EF5" w:rsidP="00CB0EF5">
      <w:pPr>
        <w:pStyle w:val="Corpotesto"/>
      </w:pPr>
      <w:r>
        <w:rPr>
          <w:b/>
          <w:bCs/>
        </w:rPr>
        <w:t>Del CONTROLLO</w:t>
      </w:r>
      <w:r>
        <w:t xml:space="preserve">: - </w:t>
      </w:r>
      <w:r>
        <w:rPr>
          <w:b/>
          <w:bCs/>
        </w:rPr>
        <w:t>Prevenzione</w:t>
      </w:r>
      <w:r>
        <w:t xml:space="preserve"> (</w:t>
      </w:r>
      <w:r>
        <w:rPr>
          <w:highlight w:val="cyan"/>
        </w:rPr>
        <w:t>in fase di progettazione e produzione</w:t>
      </w:r>
      <w:r>
        <w:t xml:space="preserve">): valutazione preventiva fornitori, revisioni di progetto, tecniche SPC, addestramento del personale. - </w:t>
      </w:r>
      <w:r>
        <w:rPr>
          <w:b/>
          <w:bCs/>
        </w:rPr>
        <w:t>Accertamento / Validazione</w:t>
      </w:r>
      <w:r>
        <w:t xml:space="preserve"> (</w:t>
      </w:r>
      <w:r>
        <w:rPr>
          <w:highlight w:val="cyan"/>
        </w:rPr>
        <w:t>in fase di produzione</w:t>
      </w:r>
      <w:r>
        <w:t>): audit, controlli e collaudi, taratura e manutenzione apparecchi.</w:t>
      </w:r>
    </w:p>
    <w:p w14:paraId="1D5BAC4F" w14:textId="77777777" w:rsidR="00CB0EF5" w:rsidRPr="00F1190B" w:rsidRDefault="00CB0EF5" w:rsidP="00CB0EF5">
      <w:pPr>
        <w:pStyle w:val="Corpotesto"/>
      </w:pPr>
      <w:r>
        <w:rPr>
          <w:b/>
          <w:bCs/>
        </w:rPr>
        <w:t>Degli INSUCCESSI</w:t>
      </w:r>
      <w:r>
        <w:t xml:space="preserve">: - </w:t>
      </w:r>
      <w:r>
        <w:rPr>
          <w:b/>
          <w:bCs/>
        </w:rPr>
        <w:t>Interni</w:t>
      </w:r>
      <w:r>
        <w:t xml:space="preserve"> (</w:t>
      </w:r>
      <w:r>
        <w:rPr>
          <w:highlight w:val="cyan"/>
        </w:rPr>
        <w:t>in fase di produzione</w:t>
      </w:r>
      <w:r>
        <w:t xml:space="preserve">): scarti, rilavorazioni, riparazioni, costi fermo macchina, ritardi. - </w:t>
      </w:r>
      <w:r>
        <w:rPr>
          <w:b/>
          <w:bCs/>
        </w:rPr>
        <w:t>Esterni</w:t>
      </w:r>
      <w:r>
        <w:t xml:space="preserve"> (</w:t>
      </w:r>
      <w:r>
        <w:rPr>
          <w:highlight w:val="cyan"/>
        </w:rPr>
        <w:t>in fase di post-produzione/post-vendita</w:t>
      </w:r>
      <w:r>
        <w:t>): gestione reclami e resi, costi assicurazione, addestramento personale assistenza, perdita di immagine e futuri contratti.</w:t>
      </w:r>
    </w:p>
    <w:p w14:paraId="60EE19CE" w14:textId="77777777" w:rsidR="00CB0EF5" w:rsidRPr="00F1190B" w:rsidRDefault="00CB0EF5" w:rsidP="00CB0EF5">
      <w:pPr>
        <w:pStyle w:val="Corpotesto"/>
      </w:pPr>
      <w:r>
        <w:rPr>
          <w:b/>
          <w:bCs/>
        </w:rPr>
        <w:t>Dove si localizzano</w:t>
      </w:r>
      <w:r>
        <w:t>: prevenzione → prima della produzione; accertamento + insuccessi interni → durante la produzione; insuccessi esterni → dopo la produzione.</w:t>
      </w:r>
    </w:p>
    <w:p w14:paraId="2960DC23" w14:textId="77777777" w:rsidR="00CB0EF5" w:rsidRPr="00F1190B" w:rsidRDefault="00CB0EF5" w:rsidP="00CB0EF5">
      <w:pPr>
        <w:pStyle w:val="Testodelblocco"/>
      </w:pPr>
      <w:r>
        <w:rPr>
          <w:highlight w:val="cyan"/>
        </w:rPr>
        <w:t>Gli insuccessi esterni sono i più gravi perché incidono su soddisfazione del cliente e reputazione. Aumentare la prevenzione è inizialmente costoso ma riduce gli insuccessi nel tempo</w:t>
      </w:r>
      <w:r>
        <w:t>.</w:t>
      </w:r>
    </w:p>
    <w:bookmarkStart w:id="62" w:name="costi-della-qualità"/>
    <w:p w14:paraId="03E9FE90" w14:textId="77777777" w:rsidR="00CB0EF5" w:rsidRPr="00F1190B" w:rsidRDefault="00000000" w:rsidP="00CB0EF5">
      <w:r>
        <w:pict w14:anchorId="5D0C075C">
          <v:rect id="_x0000_s1042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  <w:bookmarkEnd w:id="62"/>
    </w:p>
    <w:p w14:paraId="42D7979B" w14:textId="77777777" w:rsidR="00CB0EF5" w:rsidRPr="00BE0185" w:rsidRDefault="00CB0EF5" w:rsidP="00CB0EF5">
      <w:pPr>
        <w:pStyle w:val="Titolo2"/>
      </w:pPr>
      <w:bookmarkStart w:id="63" w:name="qualificazione-di-prodotto"/>
      <w:r>
        <w:t>Qualificazione di prodotto</w:t>
      </w:r>
    </w:p>
    <w:p w14:paraId="63DFDF1C" w14:textId="77777777" w:rsidR="00CB0EF5" w:rsidRPr="00F1190B" w:rsidRDefault="00CB0EF5" w:rsidP="00CB0EF5">
      <w:pPr>
        <w:pStyle w:val="FirstParagraph"/>
      </w:pPr>
      <w:r>
        <w:rPr>
          <w:b/>
          <w:bCs/>
        </w:rPr>
        <w:t>Qualificazione di prodotto</w:t>
      </w:r>
      <w:r>
        <w:t xml:space="preserve"> = </w:t>
      </w:r>
      <w:r>
        <w:rPr>
          <w:highlight w:val="cyan"/>
        </w:rPr>
        <w:t>insieme di misure e prove per valutare la conformità del prodotto alle specifiche e stimarne l’affidabilità</w:t>
      </w:r>
      <w:r>
        <w:t>.</w:t>
      </w:r>
      <w:bookmarkEnd w:id="55"/>
      <w:bookmarkEnd w:id="63"/>
    </w:p>
    <w:p w14:paraId="1E7F3228" w14:textId="77777777" w:rsidR="00CB0EF5" w:rsidRPr="00BE0185" w:rsidRDefault="00CB0EF5" w:rsidP="00CB0EF5">
      <w:pPr>
        <w:pStyle w:val="Titolo2"/>
      </w:pPr>
      <w:r>
        <w:t>Gestione e analisi dei dati</w:t>
      </w:r>
    </w:p>
    <w:p w14:paraId="10B3DB1C" w14:textId="77777777" w:rsidR="00CB0EF5" w:rsidRPr="00F1190B" w:rsidRDefault="00CB0EF5" w:rsidP="00CB0EF5">
      <w:pPr>
        <w:pStyle w:val="FirstParagraph"/>
      </w:pPr>
      <w:r>
        <w:rPr>
          <w:highlight w:val="cyan"/>
        </w:rPr>
        <w:t>I dati servono ad analizzare i processi in modo oggettivo</w:t>
      </w:r>
      <w:r>
        <w:t>: le sensazioni soggettive non bastano per decidere correttamente. La gestione dei dati si articola in tre fasi:</w:t>
      </w:r>
    </w:p>
    <w:p w14:paraId="5EE98BF3" w14:textId="77777777" w:rsidR="00CB0EF5" w:rsidRPr="00F1190B" w:rsidRDefault="00CB0EF5" w:rsidP="00CB0EF5">
      <w:pPr>
        <w:pStyle w:val="Compact"/>
        <w:numPr>
          <w:ilvl w:val="0"/>
          <w:numId w:val="42"/>
        </w:numPr>
      </w:pPr>
      <w:r>
        <w:rPr>
          <w:b/>
          <w:bCs/>
        </w:rPr>
        <w:t>Raccolta</w:t>
      </w:r>
      <w:r>
        <w:t xml:space="preserve"> — </w:t>
      </w:r>
      <w:r>
        <w:rPr>
          <w:highlight w:val="cyan"/>
        </w:rPr>
        <w:t>precisa e affidabile</w:t>
      </w:r>
      <w:r>
        <w:t xml:space="preserve"> (tramite il foglio di raccolta dati).</w:t>
      </w:r>
    </w:p>
    <w:p w14:paraId="40AACDC2" w14:textId="77777777" w:rsidR="00CB0EF5" w:rsidRPr="00F1190B" w:rsidRDefault="00CB0EF5" w:rsidP="00CB0EF5">
      <w:pPr>
        <w:pStyle w:val="Compact"/>
        <w:numPr>
          <w:ilvl w:val="0"/>
          <w:numId w:val="42"/>
        </w:numPr>
      </w:pPr>
      <w:r>
        <w:rPr>
          <w:b/>
          <w:bCs/>
        </w:rPr>
        <w:t>Trattamento</w:t>
      </w:r>
      <w:r>
        <w:t xml:space="preserve"> — </w:t>
      </w:r>
      <w:r>
        <w:rPr>
          <w:highlight w:val="cyan"/>
        </w:rPr>
        <w:t>organizzazione dei dati in gruppi, classi o grafici</w:t>
      </w:r>
      <w:r>
        <w:t xml:space="preserve"> (es. raggruppamento in classi omogenee per l'istogramma).</w:t>
      </w:r>
    </w:p>
    <w:p w14:paraId="73A45534" w14:textId="77777777" w:rsidR="00CB0EF5" w:rsidRPr="00F1190B" w:rsidRDefault="00CB0EF5" w:rsidP="00CB0EF5">
      <w:pPr>
        <w:pStyle w:val="Compact"/>
        <w:numPr>
          <w:ilvl w:val="0"/>
          <w:numId w:val="42"/>
        </w:numPr>
      </w:pPr>
      <w:r>
        <w:rPr>
          <w:b/>
          <w:bCs/>
        </w:rPr>
        <w:t>Analisi</w:t>
      </w:r>
      <w:r>
        <w:t xml:space="preserve"> — </w:t>
      </w:r>
      <w:r>
        <w:rPr>
          <w:highlight w:val="cyan"/>
        </w:rPr>
        <w:t>può essere qualitativa (attributi) o quantitativa (variabili)</w:t>
      </w:r>
      <w:r>
        <w:t>.</w:t>
      </w:r>
    </w:p>
    <w:p w14:paraId="0265A1E8" w14:textId="77777777" w:rsidR="00CB0EF5" w:rsidRPr="00F1190B" w:rsidRDefault="00CB0EF5" w:rsidP="00CB0EF5">
      <w:pPr>
        <w:pStyle w:val="Corpotesto"/>
      </w:pPr>
      <w:r>
        <w:rPr>
          <w:b/>
          <w:bCs/>
        </w:rPr>
        <w:t>Forma a campana</w:t>
      </w:r>
      <w:r>
        <w:t xml:space="preserve">: </w:t>
      </w:r>
      <w:r>
        <w:rPr>
          <w:highlight w:val="cyan"/>
        </w:rPr>
        <w:t>se il processo non presenta anomalie, i dati tendono ad assumere una distribuzione normale</w:t>
      </w:r>
      <w:r>
        <w:t>. La forma della distribuzione (simmetrica, asimmetrica, bimodale) è essa stessa un'informazione diagnostica sul processo.</w:t>
      </w:r>
    </w:p>
    <w:p w14:paraId="1000F80F" w14:textId="77777777" w:rsidR="00CB0EF5" w:rsidRPr="00BE0185" w:rsidRDefault="00CB0EF5" w:rsidP="00CB0EF5">
      <w:pPr>
        <w:pStyle w:val="Titolo2"/>
      </w:pPr>
      <w:r>
        <w:lastRenderedPageBreak/>
        <w:t>Interpretazione delle carte di controllo</w:t>
      </w:r>
    </w:p>
    <w:p w14:paraId="10390277" w14:textId="77777777" w:rsidR="00CB0EF5" w:rsidRPr="00F1190B" w:rsidRDefault="00CB0EF5" w:rsidP="00CB0EF5">
      <w:pPr>
        <w:pStyle w:val="FirstParagraph"/>
      </w:pPr>
      <w:r>
        <w:rPr>
          <w:highlight w:val="cyan"/>
        </w:rPr>
        <w:t>Una carta di controllo non serve solo a vedere se un punto supera i limiti: serve anche a riconoscere configurazioni anomale dei punti, che segnalano la presenza di cause non casuali ANCHE quando tutti i punti sono ancora compresi tra LCL e UCL</w:t>
      </w:r>
      <w:r>
        <w:t>. Configurazioni da riconoscere:</w:t>
      </w:r>
    </w:p>
    <w:p w14:paraId="76203D62" w14:textId="77777777" w:rsidR="00CB0EF5" w:rsidRPr="00F1190B" w:rsidRDefault="00CB0EF5" w:rsidP="00CB0EF5">
      <w:pPr>
        <w:pStyle w:val="Compact"/>
        <w:numPr>
          <w:ilvl w:val="0"/>
          <w:numId w:val="42"/>
        </w:numPr>
      </w:pPr>
      <w:r>
        <w:rPr>
          <w:b/>
          <w:bCs/>
        </w:rPr>
        <w:t>Andamenti ciclici</w:t>
      </w:r>
      <w:r>
        <w:t xml:space="preserve"> — </w:t>
      </w:r>
      <w:r>
        <w:rPr>
          <w:highlight w:val="cyan"/>
        </w:rPr>
        <w:t>i punti seguono un ciclo ricorrente</w:t>
      </w:r>
      <w:r>
        <w:t>.</w:t>
      </w:r>
    </w:p>
    <w:p w14:paraId="4DDFD49B" w14:textId="77777777" w:rsidR="00CB0EF5" w:rsidRPr="00F1190B" w:rsidRDefault="00CB0EF5" w:rsidP="00CB0EF5">
      <w:pPr>
        <w:pStyle w:val="Compact"/>
        <w:numPr>
          <w:ilvl w:val="0"/>
          <w:numId w:val="42"/>
        </w:numPr>
      </w:pPr>
      <w:r>
        <w:rPr>
          <w:b/>
          <w:bCs/>
        </w:rPr>
        <w:t>Derive</w:t>
      </w:r>
      <w:r>
        <w:t xml:space="preserve"> (trend) — </w:t>
      </w:r>
      <w:r>
        <w:rPr>
          <w:highlight w:val="cyan"/>
        </w:rPr>
        <w:t>tendenza progressivamente crescente o decrescente</w:t>
      </w:r>
      <w:r>
        <w:t>.</w:t>
      </w:r>
    </w:p>
    <w:p w14:paraId="1EEC2FD4" w14:textId="77777777" w:rsidR="00CB0EF5" w:rsidRPr="00F1190B" w:rsidRDefault="00CB0EF5" w:rsidP="00CB0EF5">
      <w:pPr>
        <w:pStyle w:val="Compact"/>
        <w:numPr>
          <w:ilvl w:val="0"/>
          <w:numId w:val="42"/>
        </w:numPr>
      </w:pPr>
      <w:r>
        <w:rPr>
          <w:b/>
          <w:bCs/>
        </w:rPr>
        <w:t>Stratificazione</w:t>
      </w:r>
      <w:r>
        <w:t xml:space="preserve"> — </w:t>
      </w:r>
      <w:r>
        <w:rPr>
          <w:highlight w:val="cyan"/>
        </w:rPr>
        <w:t>i punti restano troppo vicini alla linea centrale</w:t>
      </w:r>
      <w:r>
        <w:t xml:space="preserve"> (variabilità anomala bassa).</w:t>
      </w:r>
    </w:p>
    <w:p w14:paraId="65F3929C" w14:textId="77777777" w:rsidR="00CB0EF5" w:rsidRPr="00F1190B" w:rsidRDefault="00CB0EF5" w:rsidP="00CB0EF5">
      <w:pPr>
        <w:pStyle w:val="Compact"/>
        <w:numPr>
          <w:ilvl w:val="0"/>
          <w:numId w:val="42"/>
        </w:numPr>
      </w:pPr>
      <w:r>
        <w:rPr>
          <w:b/>
          <w:bCs/>
        </w:rPr>
        <w:t>Miscele</w:t>
      </w:r>
      <w:r>
        <w:t xml:space="preserve"> — </w:t>
      </w:r>
      <w:r>
        <w:rPr>
          <w:highlight w:val="cyan"/>
        </w:rPr>
        <w:t>i punti si addensano vicino ai limiti, lontano dal centro</w:t>
      </w:r>
      <w:r>
        <w:t xml:space="preserve"> (due popolazioni mescolate).</w:t>
      </w:r>
    </w:p>
    <w:p w14:paraId="4C4C4629" w14:textId="77777777" w:rsidR="00CB0EF5" w:rsidRPr="00F1190B" w:rsidRDefault="00CB0EF5" w:rsidP="00CB0EF5">
      <w:pPr>
        <w:pStyle w:val="Corpotesto"/>
      </w:pPr>
      <w:r>
        <w:t>Riconoscere queste configurazioni è utile sia per prevenire i difetti sia per verificare se una modifica introdotta nel processo è stata efficace.</w:t>
      </w:r>
    </w:p>
    <w:p w14:paraId="252C646B" w14:textId="77777777" w:rsidR="00CB0EF5" w:rsidRPr="00BE0185" w:rsidRDefault="00CB0EF5" w:rsidP="00CB0EF5">
      <w:pPr>
        <w:pStyle w:val="Titolo2"/>
      </w:pPr>
      <w:r>
        <w:t>Le fasi per risolvere un problema</w:t>
      </w:r>
    </w:p>
    <w:p w14:paraId="33152853" w14:textId="77777777" w:rsidR="00CB0EF5" w:rsidRPr="00F1190B" w:rsidRDefault="00CB0EF5" w:rsidP="00CB0EF5">
      <w:pPr>
        <w:pStyle w:val="FirstParagraph"/>
      </w:pPr>
      <w:r>
        <w:t xml:space="preserve">Sequenza operativa con cui gli strumenti si combinano nel </w:t>
      </w:r>
      <w:proofErr w:type="spellStart"/>
      <w:r>
        <w:t>problem</w:t>
      </w:r>
      <w:proofErr w:type="spellEnd"/>
      <w:r>
        <w:t xml:space="preserve"> solving:</w:t>
      </w:r>
    </w:p>
    <w:p w14:paraId="4DB8CE9E" w14:textId="77777777" w:rsidR="00CB0EF5" w:rsidRPr="00F1190B" w:rsidRDefault="00CB0EF5" w:rsidP="00CB0EF5">
      <w:pPr>
        <w:pStyle w:val="Compact"/>
        <w:numPr>
          <w:ilvl w:val="0"/>
          <w:numId w:val="42"/>
        </w:numPr>
      </w:pPr>
      <w:r>
        <w:t xml:space="preserve">1) </w:t>
      </w:r>
      <w:r>
        <w:rPr>
          <w:b/>
          <w:bCs/>
        </w:rPr>
        <w:t>Individuare i problemi</w:t>
      </w:r>
      <w:r>
        <w:t xml:space="preserve"> → </w:t>
      </w:r>
      <w:r>
        <w:rPr>
          <w:highlight w:val="cyan"/>
        </w:rPr>
        <w:t>strumenti di supporto: benchmarking e brainstorming</w:t>
      </w:r>
      <w:r>
        <w:t>.</w:t>
      </w:r>
    </w:p>
    <w:p w14:paraId="45DB74C4" w14:textId="77777777" w:rsidR="00CB0EF5" w:rsidRPr="00F1190B" w:rsidRDefault="00CB0EF5" w:rsidP="00CB0EF5">
      <w:pPr>
        <w:pStyle w:val="Compact"/>
        <w:numPr>
          <w:ilvl w:val="0"/>
          <w:numId w:val="42"/>
        </w:numPr>
      </w:pPr>
      <w:r>
        <w:t xml:space="preserve">2) </w:t>
      </w:r>
      <w:r>
        <w:rPr>
          <w:b/>
          <w:bCs/>
        </w:rPr>
        <w:t>Ottenere informazioni sui problemi</w:t>
      </w:r>
      <w:r>
        <w:t xml:space="preserve"> → </w:t>
      </w:r>
      <w:r>
        <w:rPr>
          <w:highlight w:val="cyan"/>
        </w:rPr>
        <w:t>strumenti di raccolta, trattamento e analisi dei dati</w:t>
      </w:r>
      <w:r>
        <w:t>.</w:t>
      </w:r>
    </w:p>
    <w:p w14:paraId="0F1B563A" w14:textId="77777777" w:rsidR="00CB0EF5" w:rsidRPr="00F1190B" w:rsidRDefault="00CB0EF5" w:rsidP="00CB0EF5">
      <w:pPr>
        <w:pStyle w:val="Compact"/>
        <w:numPr>
          <w:ilvl w:val="0"/>
          <w:numId w:val="42"/>
        </w:numPr>
      </w:pPr>
      <w:r>
        <w:t xml:space="preserve">3) </w:t>
      </w:r>
      <w:r>
        <w:rPr>
          <w:b/>
          <w:bCs/>
        </w:rPr>
        <w:t>Individuare e scegliere le priorità</w:t>
      </w:r>
      <w:r>
        <w:t xml:space="preserve"> → </w:t>
      </w:r>
      <w:r>
        <w:rPr>
          <w:highlight w:val="cyan"/>
        </w:rPr>
        <w:t>analisi di Pareto</w:t>
      </w:r>
      <w:r>
        <w:t>.</w:t>
      </w:r>
    </w:p>
    <w:p w14:paraId="26C7AC70" w14:textId="77777777" w:rsidR="00CB0EF5" w:rsidRPr="00F1190B" w:rsidRDefault="00CB0EF5" w:rsidP="00CB0EF5">
      <w:pPr>
        <w:pStyle w:val="Compact"/>
        <w:numPr>
          <w:ilvl w:val="0"/>
          <w:numId w:val="42"/>
        </w:numPr>
      </w:pPr>
      <w:r>
        <w:t xml:space="preserve">4) </w:t>
      </w:r>
      <w:r>
        <w:rPr>
          <w:b/>
          <w:bCs/>
        </w:rPr>
        <w:t>Cercare le cause</w:t>
      </w:r>
      <w:r>
        <w:t xml:space="preserve"> → </w:t>
      </w:r>
      <w:r>
        <w:rPr>
          <w:highlight w:val="cyan"/>
        </w:rPr>
        <w:t>diagramma causa-effetto e diagramma di correlazione</w:t>
      </w:r>
      <w:r>
        <w:t>.</w:t>
      </w:r>
    </w:p>
    <w:p w14:paraId="552F1576" w14:textId="77777777" w:rsidR="00CB0EF5" w:rsidRDefault="00CB0EF5" w:rsidP="00CB0EF5">
      <w:pPr>
        <w:pStyle w:val="Compact"/>
        <w:numPr>
          <w:ilvl w:val="0"/>
          <w:numId w:val="42"/>
        </w:numPr>
      </w:pPr>
      <w:r>
        <w:t xml:space="preserve">5) </w:t>
      </w:r>
      <w:r>
        <w:rPr>
          <w:b/>
          <w:bCs/>
        </w:rPr>
        <w:t>Applicare le soluzioni e controllare i risultati</w:t>
      </w:r>
      <w:r>
        <w:t xml:space="preserve"> → </w:t>
      </w:r>
      <w:r>
        <w:rPr>
          <w:highlight w:val="cyan"/>
        </w:rPr>
        <w:t>carte di controllo e ciclo PDCA</w:t>
      </w:r>
      <w:r>
        <w:t>.</w:t>
      </w:r>
    </w:p>
    <w:p w14:paraId="090B05E3" w14:textId="6757BCC6" w:rsidR="00373FB0" w:rsidRPr="00F812A4" w:rsidRDefault="00000000" w:rsidP="00373FB0">
      <w:pPr>
        <w:pStyle w:val="Compact"/>
      </w:pPr>
      <w:r>
        <w:pict w14:anchorId="3DFB28C4">
          <v:rect id="Rettangolo 1" o:spid="_x0000_s1041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</w:p>
    <w:p w14:paraId="0A57225E" w14:textId="77777777" w:rsidR="00E35AFD" w:rsidRPr="004720B0" w:rsidRDefault="00E35AFD" w:rsidP="00E35AFD">
      <w:pPr>
        <w:pStyle w:val="Titolo1"/>
      </w:pPr>
      <w:bookmarkStart w:id="64" w:name="modulo-8-conformità-dei-prodotti"/>
      <w:r>
        <w:t>Modulo 8 — Conformità dei prodotti</w:t>
      </w:r>
    </w:p>
    <w:p w14:paraId="4BCE2319" w14:textId="77777777" w:rsidR="00E35AFD" w:rsidRPr="004720B0" w:rsidRDefault="00000000" w:rsidP="00E35AFD">
      <w:r>
        <w:pict w14:anchorId="150B3046">
          <v:rect id="_x0000_s1040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</w:p>
    <w:p w14:paraId="3E2563B4" w14:textId="77777777" w:rsidR="00E35AFD" w:rsidRPr="004720B0" w:rsidRDefault="00E35AFD" w:rsidP="00E35AFD">
      <w:pPr>
        <w:pStyle w:val="Titolo2"/>
      </w:pPr>
      <w:r>
        <w:t>Il Mercato Unico Europeo</w:t>
      </w:r>
    </w:p>
    <w:p w14:paraId="3B6EC044" w14:textId="77777777" w:rsidR="00E35AFD" w:rsidRPr="00E35AFD" w:rsidRDefault="00E35AFD" w:rsidP="00E35AFD">
      <w:pPr>
        <w:pStyle w:val="FirstParagraph"/>
      </w:pPr>
      <w:r>
        <w:rPr>
          <w:b/>
          <w:bCs/>
        </w:rPr>
        <w:t>UE</w:t>
      </w:r>
      <w:r>
        <w:t xml:space="preserve"> = </w:t>
      </w:r>
      <w:r>
        <w:rPr>
          <w:highlight w:val="cyan"/>
        </w:rPr>
        <w:t>partnership economica e politica di 27 Paesi democratici</w:t>
      </w:r>
      <w:r>
        <w:t xml:space="preserve">. Obiettivi: pace, prosperità, libertà. </w:t>
      </w:r>
      <w:r>
        <w:rPr>
          <w:highlight w:val="cyan"/>
        </w:rPr>
        <w:t>Traguardo chiave: libera circolazione di merci e servizi</w:t>
      </w:r>
      <w:r>
        <w:t xml:space="preserve"> tramite l’abolizione delle barriere fisiche, tecniche e fiscali.</w:t>
      </w:r>
    </w:p>
    <w:p w14:paraId="22D2BC4F" w14:textId="77777777" w:rsidR="00E35AFD" w:rsidRPr="00E35AFD" w:rsidRDefault="00E35AFD" w:rsidP="00E35AFD">
      <w:pPr>
        <w:pStyle w:val="Corpotesto"/>
      </w:pPr>
      <w:r>
        <w:rPr>
          <w:b/>
          <w:bCs/>
        </w:rPr>
        <w:t>Libro Bianco</w:t>
      </w:r>
      <w:r>
        <w:t xml:space="preserve"> = </w:t>
      </w:r>
      <w:r>
        <w:rPr>
          <w:highlight w:val="cyan"/>
        </w:rPr>
        <w:t>strumento contenente le proposte della Commissione per l’attuazione del mercato unico</w:t>
      </w:r>
      <w:r>
        <w:t xml:space="preserve"> e l’eliminazione delle barriere.</w:t>
      </w:r>
    </w:p>
    <w:p w14:paraId="098EE0BE" w14:textId="77777777" w:rsidR="00E35AFD" w:rsidRPr="00E35AFD" w:rsidRDefault="00E35AFD" w:rsidP="00E35AFD">
      <w:pPr>
        <w:pStyle w:val="Corpotesto"/>
      </w:pPr>
      <w:r>
        <w:rPr>
          <w:b/>
          <w:bCs/>
          <w:i/>
          <w:iCs/>
        </w:rPr>
        <w:t>Istituzioni UE</w:t>
      </w:r>
      <w:r>
        <w:rPr>
          <w:i/>
          <w:iCs/>
        </w:rPr>
        <w:t>:</w:t>
      </w:r>
      <w:r>
        <w:t xml:space="preserve"> </w:t>
      </w:r>
      <w:r>
        <w:rPr>
          <w:b/>
          <w:bCs/>
        </w:rPr>
        <w:t>Parlamento</w:t>
      </w:r>
      <w:r>
        <w:t xml:space="preserve"> (</w:t>
      </w:r>
      <w:r>
        <w:rPr>
          <w:highlight w:val="cyan"/>
        </w:rPr>
        <w:t>funzione legislativa</w:t>
      </w:r>
      <w:r>
        <w:t xml:space="preserve">), </w:t>
      </w:r>
      <w:r>
        <w:rPr>
          <w:b/>
          <w:bCs/>
        </w:rPr>
        <w:t>Consiglio dell’UE</w:t>
      </w:r>
      <w:r>
        <w:t xml:space="preserve"> (</w:t>
      </w:r>
      <w:r>
        <w:rPr>
          <w:highlight w:val="cyan"/>
        </w:rPr>
        <w:t>organo decisionale</w:t>
      </w:r>
      <w:r>
        <w:t xml:space="preserve">), </w:t>
      </w:r>
      <w:r>
        <w:rPr>
          <w:b/>
          <w:bCs/>
        </w:rPr>
        <w:t>Commissione Europea</w:t>
      </w:r>
      <w:r>
        <w:t xml:space="preserve"> (</w:t>
      </w:r>
      <w:r>
        <w:rPr>
          <w:highlight w:val="cyan"/>
        </w:rPr>
        <w:t>organo esecutivo</w:t>
      </w:r>
      <w:r>
        <w:t xml:space="preserve">, “motore del sistema”), </w:t>
      </w:r>
      <w:r>
        <w:rPr>
          <w:b/>
          <w:bCs/>
        </w:rPr>
        <w:t>Corte di Giustizia</w:t>
      </w:r>
      <w:r>
        <w:t>, Corte dei conti, agenzie.</w:t>
      </w:r>
    </w:p>
    <w:bookmarkStart w:id="65" w:name="il-mercato-unico-europeo"/>
    <w:p w14:paraId="49509BC9" w14:textId="77777777" w:rsidR="00E35AFD" w:rsidRPr="004720B0" w:rsidRDefault="00000000" w:rsidP="00E35AFD">
      <w:r>
        <w:pict w14:anchorId="7C26F794">
          <v:rect id="Rettangolo 3" o:spid="_x0000_s1039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  <w:bookmarkEnd w:id="65"/>
    </w:p>
    <w:p w14:paraId="347541CA" w14:textId="77777777" w:rsidR="00E35AFD" w:rsidRPr="004720B0" w:rsidRDefault="00E35AFD" w:rsidP="00E35AFD">
      <w:pPr>
        <w:pStyle w:val="Titolo2"/>
      </w:pPr>
      <w:r>
        <w:t>Fonti del diritto europee</w:t>
      </w:r>
    </w:p>
    <w:tbl>
      <w:tblPr>
        <w:tblStyle w:val="Table"/>
        <w:tblW w:w="50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35AFD" w:rsidRPr="004720B0" w14:paraId="1499586C" w14:textId="77777777" w:rsidTr="00E46D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20" w:type="dxa"/>
            <w:tcBorders>
              <w:bottom w:val="single" w:sz="6" w:space="0" w:color="000000"/>
            </w:tcBorders>
          </w:tcPr>
          <w:p w14:paraId="1169BF13" w14:textId="77777777" w:rsidR="00E35AFD" w:rsidRPr="004720B0" w:rsidRDefault="00E35AFD" w:rsidP="00E46D54">
            <w:pPr>
              <w:pStyle w:val="Compact"/>
              <w:rPr>
                <w:rFonts w:ascii="Cambria" w:eastAsia="Cambria" w:hAnsi="Cambria"/>
              </w:rPr>
            </w:pPr>
          </w:p>
        </w:tc>
        <w:tc>
          <w:tcPr>
            <w:tcW w:w="3120" w:type="dxa"/>
            <w:tcBorders>
              <w:bottom w:val="single" w:sz="6" w:space="0" w:color="000000"/>
            </w:tcBorders>
          </w:tcPr>
          <w:p w14:paraId="20D3E377" w14:textId="77777777" w:rsidR="00E35AFD" w:rsidRPr="004720B0" w:rsidRDefault="00E35AFD" w:rsidP="00E46D54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  <w:b/>
                <w:bCs/>
              </w:rPr>
              <w:t>Direttiva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</w:tcPr>
          <w:p w14:paraId="7BCA2278" w14:textId="77777777" w:rsidR="00E35AFD" w:rsidRPr="004720B0" w:rsidRDefault="00E35AFD" w:rsidP="00E46D54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  <w:b/>
                <w:bCs/>
              </w:rPr>
              <w:t>Regolamento</w:t>
            </w:r>
          </w:p>
        </w:tc>
      </w:tr>
      <w:tr w:rsidR="00E35AFD" w:rsidRPr="004720B0" w14:paraId="511E8090" w14:textId="77777777" w:rsidTr="00E46D54">
        <w:tc>
          <w:tcPr>
            <w:tcW w:w="3120" w:type="dxa"/>
          </w:tcPr>
          <w:p w14:paraId="59E1E067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t>Natura</w:t>
            </w:r>
          </w:p>
        </w:tc>
        <w:tc>
          <w:tcPr>
            <w:tcW w:w="3120" w:type="dxa"/>
          </w:tcPr>
          <w:p w14:paraId="496ABFF6" w14:textId="77777777" w:rsidR="00E35AFD" w:rsidRPr="00BF34CB" w:rsidRDefault="00E35AFD" w:rsidP="00E46D54">
            <w:pPr>
              <w:pStyle w:val="Compact"/>
              <w:rPr>
                <w:rFonts w:ascii="Cambria" w:eastAsia="Cambria" w:hAnsi="Cambria"/>
                <w:highlight w:val="cyan"/>
              </w:rPr>
            </w:pPr>
            <w:r>
              <w:rPr>
                <w:rFonts w:eastAsia="Cambria"/>
                <w:highlight w:val="cyan"/>
              </w:rPr>
              <w:t>atto legislativo UE</w:t>
            </w:r>
          </w:p>
        </w:tc>
        <w:tc>
          <w:tcPr>
            <w:tcW w:w="3120" w:type="dxa"/>
          </w:tcPr>
          <w:p w14:paraId="1F531377" w14:textId="77777777" w:rsidR="00E35AFD" w:rsidRPr="00BF34CB" w:rsidRDefault="00E35AFD" w:rsidP="00E46D54">
            <w:pPr>
              <w:pStyle w:val="Compact"/>
              <w:rPr>
                <w:rFonts w:ascii="Cambria" w:eastAsia="Cambria" w:hAnsi="Cambria"/>
                <w:highlight w:val="cyan"/>
              </w:rPr>
            </w:pPr>
            <w:r>
              <w:rPr>
                <w:rFonts w:eastAsia="Cambria"/>
                <w:highlight w:val="cyan"/>
              </w:rPr>
              <w:t>atto legislativo UE</w:t>
            </w:r>
          </w:p>
        </w:tc>
      </w:tr>
      <w:tr w:rsidR="00E35AFD" w:rsidRPr="004720B0" w14:paraId="359C9E7E" w14:textId="77777777" w:rsidTr="00E46D54">
        <w:tc>
          <w:tcPr>
            <w:tcW w:w="3120" w:type="dxa"/>
          </w:tcPr>
          <w:p w14:paraId="1A370754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t>Vincolo</w:t>
            </w:r>
          </w:p>
        </w:tc>
        <w:tc>
          <w:tcPr>
            <w:tcW w:w="3120" w:type="dxa"/>
          </w:tcPr>
          <w:p w14:paraId="4C20F463" w14:textId="77777777" w:rsidR="00E35AFD" w:rsidRPr="00BF34CB" w:rsidRDefault="00E35AFD" w:rsidP="00E46D54">
            <w:pPr>
              <w:pStyle w:val="Compact"/>
              <w:rPr>
                <w:rFonts w:ascii="Cambria" w:eastAsia="Cambria" w:hAnsi="Cambria"/>
                <w:highlight w:val="cyan"/>
              </w:rPr>
            </w:pPr>
            <w:r>
              <w:rPr>
                <w:rFonts w:eastAsia="Cambria"/>
                <w:highlight w:val="cyan"/>
              </w:rPr>
              <w:t>obbliga gli Stati a raggiungere certi obiettivi, senza imporre le modalità</w:t>
            </w:r>
          </w:p>
        </w:tc>
        <w:tc>
          <w:tcPr>
            <w:tcW w:w="3120" w:type="dxa"/>
          </w:tcPr>
          <w:p w14:paraId="274C4FC2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  <w:highlight w:val="cyan"/>
              </w:rPr>
              <w:t>obbligatorio in ogni suo elemento</w:t>
            </w:r>
          </w:p>
        </w:tc>
      </w:tr>
      <w:tr w:rsidR="00E35AFD" w:rsidRPr="004720B0" w14:paraId="4B02B5C4" w14:textId="77777777" w:rsidTr="00E46D54">
        <w:tc>
          <w:tcPr>
            <w:tcW w:w="3120" w:type="dxa"/>
          </w:tcPr>
          <w:p w14:paraId="54791985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t>Attuazione</w:t>
            </w:r>
          </w:p>
        </w:tc>
        <w:tc>
          <w:tcPr>
            <w:tcW w:w="3120" w:type="dxa"/>
          </w:tcPr>
          <w:p w14:paraId="44D4E3AD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  <w:highlight w:val="cyan"/>
              </w:rPr>
              <w:t>necessita di recepimento</w:t>
            </w:r>
            <w:r>
              <w:rPr>
                <w:rFonts w:eastAsia="Cambria"/>
              </w:rPr>
              <w:t xml:space="preserve"> nella legislazione nazionale → non immediata</w:t>
            </w:r>
          </w:p>
        </w:tc>
        <w:tc>
          <w:tcPr>
            <w:tcW w:w="3120" w:type="dxa"/>
          </w:tcPr>
          <w:p w14:paraId="362F2DF4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  <w:highlight w:val="cyan"/>
              </w:rPr>
              <w:t>non necessita di recepimento</w:t>
            </w:r>
            <w:r>
              <w:rPr>
                <w:rFonts w:eastAsia="Cambria"/>
              </w:rPr>
              <w:t xml:space="preserve"> → immediata attuazione</w:t>
            </w:r>
          </w:p>
        </w:tc>
      </w:tr>
    </w:tbl>
    <w:p w14:paraId="42040F06" w14:textId="77777777" w:rsidR="00E35AFD" w:rsidRPr="00E35AFD" w:rsidRDefault="00E35AFD" w:rsidP="00E35AFD">
      <w:pPr>
        <w:pStyle w:val="Corpotesto"/>
      </w:pPr>
      <w:r>
        <w:rPr>
          <w:b/>
          <w:bCs/>
        </w:rPr>
        <w:t>Altri atti</w:t>
      </w:r>
      <w:r>
        <w:t xml:space="preserve">: </w:t>
      </w:r>
      <w:r>
        <w:rPr>
          <w:highlight w:val="cyan"/>
        </w:rPr>
        <w:t>Decisione</w:t>
      </w:r>
      <w:r>
        <w:t xml:space="preserve"> (vincolante, </w:t>
      </w:r>
      <w:r>
        <w:rPr>
          <w:highlight w:val="cyan"/>
        </w:rPr>
        <w:t>rivolta a destinatari specifici</w:t>
      </w:r>
      <w:r>
        <w:t xml:space="preserve">) e </w:t>
      </w:r>
      <w:r>
        <w:rPr>
          <w:highlight w:val="cyan"/>
        </w:rPr>
        <w:t>Raccomandazione</w:t>
      </w:r>
      <w:r>
        <w:t xml:space="preserve"> (non vincolante, </w:t>
      </w:r>
      <w:r>
        <w:rPr>
          <w:highlight w:val="cyan"/>
        </w:rPr>
        <w:t>suggerisce un orientamento</w:t>
      </w:r>
      <w:r>
        <w:t>).</w:t>
      </w:r>
    </w:p>
    <w:p w14:paraId="30C12575" w14:textId="77777777" w:rsidR="00E35AFD" w:rsidRPr="00E35AFD" w:rsidRDefault="00E35AFD" w:rsidP="00E35AFD">
      <w:pPr>
        <w:pStyle w:val="Corpotesto"/>
      </w:pPr>
      <w:r>
        <w:rPr>
          <w:b/>
          <w:bCs/>
        </w:rPr>
        <w:t>Tipi di direttive</w:t>
      </w:r>
      <w:r>
        <w:t xml:space="preserve">: - </w:t>
      </w:r>
      <w:r>
        <w:rPr>
          <w:highlight w:val="cyan"/>
        </w:rPr>
        <w:t>Sociali</w:t>
      </w:r>
      <w:r>
        <w:t xml:space="preserve"> — uniformano la legislazione sulla vita dei cittadini (es. sicurezza nei luoghi di lavoro). - </w:t>
      </w:r>
      <w:r>
        <w:rPr>
          <w:highlight w:val="cyan"/>
        </w:rPr>
        <w:t>Di prodotto</w:t>
      </w:r>
      <w:r>
        <w:t xml:space="preserve">: - Orizzontali — trattano un rischio applicabile a tutti i prodotti (es. compatibilità elettromagnetica). - </w:t>
      </w:r>
      <w:r>
        <w:rPr>
          <w:highlight w:val="cyan"/>
        </w:rPr>
        <w:t>Verticali / settoriali</w:t>
      </w:r>
      <w:r>
        <w:t xml:space="preserve"> — trattano tutti i rischi associati a un prodotto o classe (es. macchine).</w:t>
      </w:r>
    </w:p>
    <w:bookmarkStart w:id="66" w:name="fonti-del-diritto-europee"/>
    <w:p w14:paraId="7CC6CFE5" w14:textId="77777777" w:rsidR="00E35AFD" w:rsidRPr="004720B0" w:rsidRDefault="00000000" w:rsidP="00E35AFD">
      <w:r>
        <w:pict w14:anchorId="4115FAAD">
          <v:rect id="Rettangolo 5" o:spid="_x0000_s1038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  <w:bookmarkEnd w:id="66"/>
    </w:p>
    <w:p w14:paraId="72226E96" w14:textId="77777777" w:rsidR="00E35AFD" w:rsidRPr="004720B0" w:rsidRDefault="00E35AFD" w:rsidP="00E35AFD">
      <w:pPr>
        <w:pStyle w:val="Titolo2"/>
      </w:pPr>
      <w:r>
        <w:t>Vecchio vs Nuovo Approccio</w:t>
      </w:r>
    </w:p>
    <w:p w14:paraId="2DF96E00" w14:textId="77777777" w:rsidR="00E35AFD" w:rsidRPr="00E35AFD" w:rsidRDefault="00E35AFD" w:rsidP="00E35AFD">
      <w:pPr>
        <w:pStyle w:val="Compact"/>
        <w:numPr>
          <w:ilvl w:val="0"/>
          <w:numId w:val="43"/>
        </w:numPr>
      </w:pPr>
      <w:r>
        <w:rPr>
          <w:b/>
          <w:bCs/>
        </w:rPr>
        <w:t>Vecchio Approccio</w:t>
      </w:r>
      <w:r>
        <w:t xml:space="preserve">: </w:t>
      </w:r>
      <w:r>
        <w:rPr>
          <w:highlight w:val="cyan"/>
        </w:rPr>
        <w:t>le direttive</w:t>
      </w:r>
      <w:r>
        <w:t xml:space="preserve"> erano lunghe e complesse; </w:t>
      </w:r>
      <w:r>
        <w:rPr>
          <w:highlight w:val="cyan"/>
        </w:rPr>
        <w:t>fissavano sia i RES sia i requisiti tecnici specifici</w:t>
      </w:r>
      <w:r>
        <w:t>.</w:t>
      </w:r>
    </w:p>
    <w:p w14:paraId="54FDB311" w14:textId="77777777" w:rsidR="00E35AFD" w:rsidRPr="00E35AFD" w:rsidRDefault="00E35AFD" w:rsidP="00E35AFD">
      <w:pPr>
        <w:pStyle w:val="Compact"/>
        <w:numPr>
          <w:ilvl w:val="0"/>
          <w:numId w:val="43"/>
        </w:numPr>
      </w:pPr>
      <w:r>
        <w:rPr>
          <w:b/>
          <w:bCs/>
        </w:rPr>
        <w:t>Nuovo Approccio</w:t>
      </w:r>
      <w:r>
        <w:t>: l</w:t>
      </w:r>
      <w:r>
        <w:rPr>
          <w:highlight w:val="cyan"/>
        </w:rPr>
        <w:t>e direttive fissano solo i RES e rimandano alle norme tecniche armonizzate</w:t>
      </w:r>
      <w:r>
        <w:t xml:space="preserve"> (CEN/CENELEC) per i requisiti tecnici specifici.</w:t>
      </w:r>
    </w:p>
    <w:p w14:paraId="23CB6E71" w14:textId="77777777" w:rsidR="00E35AFD" w:rsidRPr="00E35AFD" w:rsidRDefault="00E35AFD" w:rsidP="00E35AFD">
      <w:pPr>
        <w:pStyle w:val="FirstParagraph"/>
      </w:pPr>
      <w:r>
        <w:rPr>
          <w:b/>
          <w:bCs/>
        </w:rPr>
        <w:t>Sigle dei requisiti</w:t>
      </w:r>
      <w:r>
        <w:t xml:space="preserve">: - RES = </w:t>
      </w:r>
      <w:r>
        <w:rPr>
          <w:highlight w:val="cyan"/>
        </w:rPr>
        <w:t>Requisiti Essenziali di Sicurezza</w:t>
      </w:r>
      <w:r>
        <w:t xml:space="preserve"> - RGSP = </w:t>
      </w:r>
      <w:r>
        <w:rPr>
          <w:highlight w:val="cyan"/>
        </w:rPr>
        <w:t>Requisiti Generali di Sicurezza e Prestazione</w:t>
      </w:r>
      <w:r>
        <w:t xml:space="preserve"> - RESS = </w:t>
      </w:r>
      <w:r>
        <w:rPr>
          <w:highlight w:val="cyan"/>
        </w:rPr>
        <w:t>Requisiti Essenziali di Salute e Sicurezza</w:t>
      </w:r>
      <w:r>
        <w:t>.</w:t>
      </w:r>
    </w:p>
    <w:p w14:paraId="4E58A1AB" w14:textId="77777777" w:rsidR="00E35AFD" w:rsidRPr="00E35AFD" w:rsidRDefault="00E35AFD" w:rsidP="00E35AFD">
      <w:pPr>
        <w:pStyle w:val="Corpotesto"/>
      </w:pPr>
      <w:r>
        <w:rPr>
          <w:b/>
          <w:bCs/>
        </w:rPr>
        <w:t>Flusso normativo</w:t>
      </w:r>
      <w:r>
        <w:t xml:space="preserve">: </w:t>
      </w:r>
      <w:r>
        <w:rPr>
          <w:highlight w:val="cyan"/>
        </w:rPr>
        <w:t>la Commissione emette la Direttiva</w:t>
      </w:r>
      <w:r>
        <w:t xml:space="preserve"> (che contiene i RES) → </w:t>
      </w:r>
      <w:r>
        <w:rPr>
          <w:highlight w:val="cyan"/>
        </w:rPr>
        <w:t>dà mandato agli enti normatori europei</w:t>
      </w:r>
      <w:r>
        <w:t xml:space="preserve"> (CEN, CENELEC) </w:t>
      </w:r>
      <w:r>
        <w:rPr>
          <w:highlight w:val="cyan"/>
        </w:rPr>
        <w:t>di emettere le norme armonizzate</w:t>
      </w:r>
      <w:r>
        <w:t xml:space="preserve"> che soddisfano i RES → </w:t>
      </w:r>
      <w:r>
        <w:rPr>
          <w:highlight w:val="cyan"/>
        </w:rPr>
        <w:t>le norme armonizzate vanno agli organismi nazionali</w:t>
      </w:r>
      <w:r>
        <w:t xml:space="preserve"> (UNI), che le traducono in norme nazionali.</w:t>
      </w:r>
    </w:p>
    <w:bookmarkStart w:id="67" w:name="vecchio-vs-nuovo-approccio"/>
    <w:p w14:paraId="393EF4F0" w14:textId="77777777" w:rsidR="00E35AFD" w:rsidRPr="004720B0" w:rsidRDefault="00000000" w:rsidP="00E35AFD">
      <w:r>
        <w:pict w14:anchorId="24D6E5B8">
          <v:rect id="Rettangolo 7" o:spid="_x0000_s1037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  <w:bookmarkEnd w:id="67"/>
    </w:p>
    <w:p w14:paraId="3F477088" w14:textId="77777777" w:rsidR="00E35AFD" w:rsidRPr="004720B0" w:rsidRDefault="00E35AFD" w:rsidP="00E35AFD">
      <w:pPr>
        <w:pStyle w:val="Titolo2"/>
      </w:pPr>
      <w:r>
        <w:t>Norme armonizzate</w:t>
      </w:r>
    </w:p>
    <w:p w14:paraId="32B4E6FA" w14:textId="77777777" w:rsidR="00E35AFD" w:rsidRPr="00E35AFD" w:rsidRDefault="00E35AFD" w:rsidP="00E35AFD">
      <w:pPr>
        <w:pStyle w:val="FirstParagraph"/>
      </w:pPr>
      <w:r>
        <w:rPr>
          <w:b/>
          <w:bCs/>
        </w:rPr>
        <w:t>Norma armonizzata</w:t>
      </w:r>
      <w:r>
        <w:t xml:space="preserve"> = </w:t>
      </w:r>
      <w:r>
        <w:rPr>
          <w:highlight w:val="cyan"/>
        </w:rPr>
        <w:t>norma europea emessa</w:t>
      </w:r>
      <w:r>
        <w:t xml:space="preserve"> da CEN/CENELEC </w:t>
      </w:r>
      <w:r>
        <w:rPr>
          <w:highlight w:val="cyan"/>
        </w:rPr>
        <w:t>su mandato della Commissione e recepita come norma nazionale</w:t>
      </w:r>
      <w:r>
        <w:t xml:space="preserve">. La sua applicazione è volontaria, ma se un prodotto è realizzato secondo una norma armonizzata si ottiene la presunzione di conformità ai RES coperti. </w:t>
      </w:r>
    </w:p>
    <w:p w14:paraId="610DC8EE" w14:textId="77777777" w:rsidR="00E35AFD" w:rsidRPr="00E35AFD" w:rsidRDefault="00E35AFD" w:rsidP="00E35AFD">
      <w:pPr>
        <w:pStyle w:val="Corpotesto"/>
      </w:pPr>
      <w:r>
        <w:rPr>
          <w:b/>
          <w:bCs/>
        </w:rPr>
        <w:t>Tipologie</w:t>
      </w:r>
      <w:r>
        <w:t xml:space="preserve"> (settore macchine): - </w:t>
      </w:r>
      <w:r>
        <w:rPr>
          <w:b/>
          <w:bCs/>
        </w:rPr>
        <w:t>Tipo A</w:t>
      </w:r>
      <w:r>
        <w:t xml:space="preserve"> — </w:t>
      </w:r>
      <w:r>
        <w:rPr>
          <w:highlight w:val="cyan"/>
        </w:rPr>
        <w:t>norme generali di sicurezza</w:t>
      </w:r>
      <w:r>
        <w:t xml:space="preserve">, applicabili a tutte le macchine. - </w:t>
      </w:r>
      <w:r>
        <w:rPr>
          <w:b/>
          <w:bCs/>
        </w:rPr>
        <w:t>Tipo B</w:t>
      </w:r>
      <w:r>
        <w:t xml:space="preserve"> — </w:t>
      </w:r>
      <w:r>
        <w:rPr>
          <w:highlight w:val="cyan"/>
        </w:rPr>
        <w:t>norme di sicurezza comuni a più famiglie</w:t>
      </w:r>
      <w:r>
        <w:t xml:space="preserve"> (B1 = aspetti di sicurezza; </w:t>
      </w:r>
      <w:r>
        <w:lastRenderedPageBreak/>
        <w:t xml:space="preserve">B2 = dispositivi di sicurezza). - </w:t>
      </w:r>
      <w:r>
        <w:rPr>
          <w:b/>
          <w:bCs/>
        </w:rPr>
        <w:t>Tipo C</w:t>
      </w:r>
      <w:r>
        <w:t xml:space="preserve"> — </w:t>
      </w:r>
      <w:r>
        <w:rPr>
          <w:highlight w:val="cyan"/>
        </w:rPr>
        <w:t>norme specifiche per un solo tipo di macchina</w:t>
      </w:r>
      <w:r>
        <w:t xml:space="preserve">. Le più vicine al prodotto: </w:t>
      </w:r>
      <w:r>
        <w:rPr>
          <w:highlight w:val="cyan"/>
        </w:rPr>
        <w:t>se in conflitto con A, prevale C</w:t>
      </w:r>
      <w:r>
        <w:t>.</w:t>
      </w:r>
    </w:p>
    <w:p w14:paraId="68E23092" w14:textId="77777777" w:rsidR="00E35AFD" w:rsidRPr="00E35AFD" w:rsidRDefault="00E35AFD" w:rsidP="00E35AFD">
      <w:pPr>
        <w:pStyle w:val="Testodelblocco"/>
      </w:pPr>
      <w:r>
        <w:rPr>
          <w:highlight w:val="cyan"/>
        </w:rPr>
        <w:t>La conformità alle norme è volontaria</w:t>
      </w:r>
      <w:r>
        <w:t>; diventa obbligatoria solo se imposta da una legge o inserita in un contratto (o come stato dell’arte).</w:t>
      </w:r>
    </w:p>
    <w:p w14:paraId="486E3046" w14:textId="77777777" w:rsidR="00E35AFD" w:rsidRPr="00E35AFD" w:rsidRDefault="00E35AFD" w:rsidP="00E35AFD">
      <w:pPr>
        <w:pStyle w:val="FirstParagraph"/>
      </w:pPr>
      <w:r>
        <w:rPr>
          <w:b/>
          <w:bCs/>
        </w:rPr>
        <w:t>Disponibilità vs immissione vs messa in servizio</w:t>
      </w:r>
      <w:r>
        <w:t xml:space="preserve">: - </w:t>
      </w:r>
      <w:r>
        <w:rPr>
          <w:b/>
          <w:bCs/>
        </w:rPr>
        <w:t>Disponibilità sul mercato</w:t>
      </w:r>
      <w:r>
        <w:t xml:space="preserve"> = </w:t>
      </w:r>
      <w:r>
        <w:rPr>
          <w:highlight w:val="cyan"/>
        </w:rPr>
        <w:t>qualsiasi fornitura del prodotto nel mercato UE</w:t>
      </w:r>
      <w:r>
        <w:t xml:space="preserve">. - </w:t>
      </w:r>
      <w:r>
        <w:rPr>
          <w:b/>
          <w:bCs/>
        </w:rPr>
        <w:t>Immissione sul mercato</w:t>
      </w:r>
      <w:r>
        <w:t xml:space="preserve"> = </w:t>
      </w:r>
      <w:r>
        <w:rPr>
          <w:highlight w:val="cyan"/>
        </w:rPr>
        <w:t>prima messa a disposizione del singolo prodotto nel mercato UE</w:t>
      </w:r>
      <w:r>
        <w:t xml:space="preserve">. - </w:t>
      </w:r>
      <w:r>
        <w:rPr>
          <w:b/>
          <w:bCs/>
        </w:rPr>
        <w:t>Messa in servizio</w:t>
      </w:r>
      <w:r>
        <w:t xml:space="preserve"> = </w:t>
      </w:r>
      <w:r>
        <w:rPr>
          <w:highlight w:val="cyan"/>
        </w:rPr>
        <w:t>primo utilizzo da parte dell’utilizzatore finale</w:t>
      </w:r>
      <w:r>
        <w:t>.</w:t>
      </w:r>
    </w:p>
    <w:bookmarkStart w:id="68" w:name="norme-armonizzate"/>
    <w:p w14:paraId="463EC219" w14:textId="77777777" w:rsidR="00E35AFD" w:rsidRPr="004720B0" w:rsidRDefault="00000000" w:rsidP="00E35AFD">
      <w:r>
        <w:pict w14:anchorId="49E19D2B">
          <v:rect id="Rettangolo 9" o:spid="_x0000_s1036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  <w:bookmarkEnd w:id="68"/>
    </w:p>
    <w:p w14:paraId="70A91CA9" w14:textId="77777777" w:rsidR="00E35AFD" w:rsidRPr="004720B0" w:rsidRDefault="00E35AFD" w:rsidP="00E35AFD">
      <w:pPr>
        <w:pStyle w:val="Titolo2"/>
      </w:pPr>
      <w:r>
        <w:t>Marcatura CE</w:t>
      </w:r>
    </w:p>
    <w:p w14:paraId="22BD6899" w14:textId="77777777" w:rsidR="00E35AFD" w:rsidRPr="00E35AFD" w:rsidRDefault="00E35AFD" w:rsidP="00E35AFD">
      <w:pPr>
        <w:pStyle w:val="FirstParagraph"/>
      </w:pPr>
      <w:r>
        <w:t xml:space="preserve">Dalla fabbrica al mercato ci sono </w:t>
      </w:r>
      <w:proofErr w:type="gramStart"/>
      <w:r>
        <w:t>8</w:t>
      </w:r>
      <w:proofErr w:type="gramEnd"/>
      <w:r>
        <w:t xml:space="preserve"> procedure (moduli): le direttive stabiliscono quali NON si possono usare. </w:t>
      </w:r>
      <w:r>
        <w:rPr>
          <w:highlight w:val="cyan"/>
        </w:rPr>
        <w:t>Un prodotto può ricadere sotto più direttive applicabili ma riceve una sola marcatura CE</w:t>
      </w:r>
      <w:r>
        <w:t>.</w:t>
      </w:r>
    </w:p>
    <w:p w14:paraId="576269F5" w14:textId="77777777" w:rsidR="00E35AFD" w:rsidRPr="00E35AFD" w:rsidRDefault="00E35AFD" w:rsidP="00E35AFD">
      <w:pPr>
        <w:pStyle w:val="Corpotesto"/>
      </w:pPr>
      <w:r>
        <w:t>Marchio obbligatorio (CE) vs volontario:</w:t>
      </w:r>
    </w:p>
    <w:tbl>
      <w:tblPr>
        <w:tblStyle w:val="Table"/>
        <w:tblW w:w="50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35AFD" w:rsidRPr="00E35AFD" w14:paraId="70DE1551" w14:textId="77777777" w:rsidTr="00E46D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20" w:type="dxa"/>
            <w:tcBorders>
              <w:bottom w:val="single" w:sz="6" w:space="0" w:color="000000"/>
            </w:tcBorders>
          </w:tcPr>
          <w:p w14:paraId="7587B491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</w:rPr>
            </w:pPr>
          </w:p>
        </w:tc>
        <w:tc>
          <w:tcPr>
            <w:tcW w:w="3120" w:type="dxa"/>
            <w:tcBorders>
              <w:bottom w:val="single" w:sz="6" w:space="0" w:color="000000"/>
            </w:tcBorders>
          </w:tcPr>
          <w:p w14:paraId="72271356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  <w:b/>
                <w:bCs/>
              </w:rPr>
              <w:t>Marcatura CE</w:t>
            </w:r>
            <w:r>
              <w:rPr>
                <w:rFonts w:eastAsia="Cambria"/>
              </w:rPr>
              <w:t xml:space="preserve"> (obbligatoria)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</w:tcPr>
          <w:p w14:paraId="601DC366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t>Marchio volontario</w:t>
            </w:r>
          </w:p>
        </w:tc>
      </w:tr>
      <w:tr w:rsidR="00E35AFD" w:rsidRPr="00E35AFD" w14:paraId="362C5EB5" w14:textId="77777777" w:rsidTr="00E46D54">
        <w:tc>
          <w:tcPr>
            <w:tcW w:w="3120" w:type="dxa"/>
          </w:tcPr>
          <w:p w14:paraId="12E4A888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t>Attesta</w:t>
            </w:r>
          </w:p>
        </w:tc>
        <w:tc>
          <w:tcPr>
            <w:tcW w:w="3120" w:type="dxa"/>
          </w:tcPr>
          <w:p w14:paraId="692236A8" w14:textId="77777777" w:rsidR="00E35AFD" w:rsidRPr="00BF34CB" w:rsidRDefault="00E35AFD" w:rsidP="00E46D54">
            <w:pPr>
              <w:pStyle w:val="Compact"/>
              <w:rPr>
                <w:rFonts w:ascii="Cambria" w:eastAsia="Cambria" w:hAnsi="Cambria"/>
                <w:highlight w:val="cyan"/>
              </w:rPr>
            </w:pPr>
            <w:r>
              <w:rPr>
                <w:rFonts w:eastAsia="Cambria"/>
                <w:highlight w:val="cyan"/>
              </w:rPr>
              <w:t>conformità ai RES</w:t>
            </w:r>
          </w:p>
        </w:tc>
        <w:tc>
          <w:tcPr>
            <w:tcW w:w="3120" w:type="dxa"/>
          </w:tcPr>
          <w:p w14:paraId="6097AF49" w14:textId="77777777" w:rsidR="00E35AFD" w:rsidRPr="00BF34CB" w:rsidRDefault="00E35AFD" w:rsidP="00E46D54">
            <w:pPr>
              <w:pStyle w:val="Compact"/>
              <w:rPr>
                <w:rFonts w:ascii="Cambria" w:eastAsia="Cambria" w:hAnsi="Cambria"/>
                <w:highlight w:val="cyan"/>
              </w:rPr>
            </w:pPr>
            <w:r>
              <w:rPr>
                <w:rFonts w:eastAsia="Cambria"/>
                <w:highlight w:val="cyan"/>
              </w:rPr>
              <w:t>qualità superiore agli standard</w:t>
            </w:r>
          </w:p>
        </w:tc>
      </w:tr>
      <w:tr w:rsidR="00E35AFD" w:rsidRPr="00E35AFD" w14:paraId="24EBAF73" w14:textId="77777777" w:rsidTr="00E46D54">
        <w:tc>
          <w:tcPr>
            <w:tcW w:w="3120" w:type="dxa"/>
          </w:tcPr>
          <w:p w14:paraId="5F3A21C4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t>Rivolto a</w:t>
            </w:r>
          </w:p>
        </w:tc>
        <w:tc>
          <w:tcPr>
            <w:tcW w:w="3120" w:type="dxa"/>
          </w:tcPr>
          <w:p w14:paraId="542E3824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organi di vigilanza</w:t>
            </w:r>
          </w:p>
        </w:tc>
        <w:tc>
          <w:tcPr>
            <w:tcW w:w="3120" w:type="dxa"/>
          </w:tcPr>
          <w:p w14:paraId="0C2C920D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mercato / clienti</w:t>
            </w:r>
          </w:p>
        </w:tc>
      </w:tr>
      <w:tr w:rsidR="00E35AFD" w:rsidRPr="00E35AFD" w14:paraId="3E3B4F2F" w14:textId="77777777" w:rsidTr="00E46D54">
        <w:tc>
          <w:tcPr>
            <w:tcW w:w="3120" w:type="dxa"/>
          </w:tcPr>
          <w:p w14:paraId="00B6A77F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t>Rilasciata da</w:t>
            </w:r>
          </w:p>
        </w:tc>
        <w:tc>
          <w:tcPr>
            <w:tcW w:w="3120" w:type="dxa"/>
          </w:tcPr>
          <w:p w14:paraId="7A446902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fabbricante (CE) o organismo notificato (CE + 4 cifre)</w:t>
            </w:r>
          </w:p>
        </w:tc>
        <w:tc>
          <w:tcPr>
            <w:tcW w:w="3120" w:type="dxa"/>
          </w:tcPr>
          <w:p w14:paraId="2D7D6292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organismo accreditato</w:t>
            </w:r>
          </w:p>
        </w:tc>
      </w:tr>
    </w:tbl>
    <w:p w14:paraId="0459973E" w14:textId="77777777" w:rsidR="00E35AFD" w:rsidRPr="00E35AFD" w:rsidRDefault="00E35AFD" w:rsidP="00E35AFD">
      <w:pPr>
        <w:pStyle w:val="Corpotesto"/>
      </w:pPr>
      <w:r>
        <w:rPr>
          <w:b/>
          <w:bCs/>
        </w:rPr>
        <w:t>La marcatura CE deve essere</w:t>
      </w:r>
      <w:r>
        <w:t xml:space="preserve">: </w:t>
      </w:r>
      <w:r>
        <w:rPr>
          <w:highlight w:val="cyan"/>
        </w:rPr>
        <w:t>visibile, leggibile, indelebile, posta vicino al nome del fabbricante</w:t>
      </w:r>
      <w:r>
        <w:t xml:space="preserve">. </w:t>
      </w:r>
      <w:r>
        <w:rPr>
          <w:highlight w:val="cyan"/>
        </w:rPr>
        <w:t>Se</w:t>
      </w:r>
      <w:r>
        <w:t xml:space="preserve"> è stata applicata la procedura di “</w:t>
      </w:r>
      <w:r>
        <w:rPr>
          <w:highlight w:val="cyan"/>
        </w:rPr>
        <w:t>garanzia qualità totale</w:t>
      </w:r>
      <w:r>
        <w:t xml:space="preserve">” (modulo H), </w:t>
      </w:r>
      <w:r>
        <w:rPr>
          <w:highlight w:val="cyan"/>
        </w:rPr>
        <w:t>la marcatura CE è seguita dal numero di identificazione</w:t>
      </w:r>
      <w:r>
        <w:t xml:space="preserve"> (4 cifre) </w:t>
      </w:r>
      <w:r>
        <w:rPr>
          <w:highlight w:val="cyan"/>
        </w:rPr>
        <w:t>dell’organismo notificato</w:t>
      </w:r>
      <w:r>
        <w:t>.</w:t>
      </w:r>
    </w:p>
    <w:p w14:paraId="7C0BDED7" w14:textId="77777777" w:rsidR="00E35AFD" w:rsidRPr="00E35AFD" w:rsidRDefault="00E35AFD" w:rsidP="00E35AFD">
      <w:pPr>
        <w:pStyle w:val="Corpotesto"/>
      </w:pPr>
      <w:r>
        <w:rPr>
          <w:highlight w:val="cyan"/>
        </w:rPr>
        <w:t>A seconda del grado di rischio esistono prodotti per cui la conformità può essere autodichiarata dal fabbricante e prodotti per cui deve essere garantita da un organismo notificato</w:t>
      </w:r>
      <w:r>
        <w:t>.</w:t>
      </w:r>
    </w:p>
    <w:p w14:paraId="6E70DC95" w14:textId="77777777" w:rsidR="00E35AFD" w:rsidRPr="00E35AFD" w:rsidRDefault="00E35AFD" w:rsidP="00E35AFD">
      <w:pPr>
        <w:pStyle w:val="Corpotesto"/>
      </w:pPr>
      <w:r>
        <w:t xml:space="preserve">La prima domanda che un’azienda si pone: </w:t>
      </w:r>
      <w:r>
        <w:rPr>
          <w:i/>
          <w:iCs/>
        </w:rPr>
        <w:t>il mio prodotto è disciplinato da una direttiva europea / è marcabile CE?</w:t>
      </w:r>
      <w:r>
        <w:t xml:space="preserve"> → si guarda il campo di applicazione della direttiva e le esclusioni.</w:t>
      </w:r>
    </w:p>
    <w:p w14:paraId="7ACB3158" w14:textId="77777777" w:rsidR="00E35AFD" w:rsidRPr="00E35AFD" w:rsidRDefault="00E35AFD" w:rsidP="00E35AFD">
      <w:pPr>
        <w:pStyle w:val="Corpotesto"/>
      </w:pPr>
      <w:r>
        <w:t>Dove vendo: in UE → marcatura CE obbligatoria; in Extra-UE → non obbligatoria, ma alcuni Paesi la richiedono come requisito contrattuale.</w:t>
      </w:r>
    </w:p>
    <w:bookmarkStart w:id="69" w:name="marcatura-ce"/>
    <w:p w14:paraId="6030E87D" w14:textId="77777777" w:rsidR="00E35AFD" w:rsidRPr="004720B0" w:rsidRDefault="00000000" w:rsidP="00E35AFD">
      <w:r>
        <w:pict w14:anchorId="72040ABB">
          <v:rect id="Rettangolo 11" o:spid="_x0000_s1035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  <w:bookmarkEnd w:id="69"/>
    </w:p>
    <w:p w14:paraId="4F53F66D" w14:textId="77777777" w:rsidR="00E35AFD" w:rsidRPr="004720B0" w:rsidRDefault="00E35AFD" w:rsidP="00E35AFD">
      <w:pPr>
        <w:pStyle w:val="Titolo2"/>
      </w:pPr>
      <w:r>
        <w:lastRenderedPageBreak/>
        <w:t>Operatori economici e responsabilità</w:t>
      </w:r>
    </w:p>
    <w:p w14:paraId="63218677" w14:textId="77777777" w:rsidR="00E35AFD" w:rsidRPr="00E35AFD" w:rsidRDefault="00E35AFD" w:rsidP="00E35AFD">
      <w:pPr>
        <w:pStyle w:val="Compact"/>
        <w:numPr>
          <w:ilvl w:val="0"/>
          <w:numId w:val="43"/>
        </w:numPr>
      </w:pPr>
      <w:r>
        <w:rPr>
          <w:b/>
          <w:bCs/>
        </w:rPr>
        <w:t>Fabbricante</w:t>
      </w:r>
      <w:r>
        <w:t xml:space="preserve"> — </w:t>
      </w:r>
      <w:r>
        <w:rPr>
          <w:highlight w:val="cyan"/>
        </w:rPr>
        <w:t>soggetto principale</w:t>
      </w:r>
      <w:r>
        <w:t xml:space="preserve">: progetta/produce/modifica; </w:t>
      </w:r>
      <w:r>
        <w:rPr>
          <w:highlight w:val="cyan"/>
        </w:rPr>
        <w:t>garantisce la conformità</w:t>
      </w:r>
      <w:r>
        <w:t xml:space="preserve">, predispone il fascicolo tecnico, svolge la valutazione di conformità, </w:t>
      </w:r>
      <w:r>
        <w:rPr>
          <w:highlight w:val="cyan"/>
        </w:rPr>
        <w:t>redige la dichiarazione di conformità CE e appone la marcatura CE</w:t>
      </w:r>
      <w:r>
        <w:t>.</w:t>
      </w:r>
    </w:p>
    <w:p w14:paraId="18307F64" w14:textId="77777777" w:rsidR="00E35AFD" w:rsidRPr="00E35AFD" w:rsidRDefault="00E35AFD" w:rsidP="00E35AFD">
      <w:pPr>
        <w:pStyle w:val="Compact"/>
        <w:numPr>
          <w:ilvl w:val="0"/>
          <w:numId w:val="43"/>
        </w:numPr>
      </w:pPr>
      <w:r>
        <w:rPr>
          <w:b/>
          <w:bCs/>
        </w:rPr>
        <w:t>Rappresentante autorizzato</w:t>
      </w:r>
      <w:r>
        <w:t xml:space="preserve"> — </w:t>
      </w:r>
      <w:r>
        <w:rPr>
          <w:highlight w:val="cyan"/>
        </w:rPr>
        <w:t>incaricato dal fabbricante con mandato scritto</w:t>
      </w:r>
      <w:r>
        <w:t xml:space="preserve">; </w:t>
      </w:r>
      <w:r>
        <w:rPr>
          <w:highlight w:val="cyan"/>
        </w:rPr>
        <w:t>svolge compiti amministrativi</w:t>
      </w:r>
      <w:r>
        <w:t>, non modifica il prodotto né progetta.</w:t>
      </w:r>
    </w:p>
    <w:p w14:paraId="1793D1FC" w14:textId="77777777" w:rsidR="00E35AFD" w:rsidRPr="00E35AFD" w:rsidRDefault="00E35AFD" w:rsidP="00E35AFD">
      <w:pPr>
        <w:pStyle w:val="Compact"/>
        <w:numPr>
          <w:ilvl w:val="0"/>
          <w:numId w:val="43"/>
        </w:numPr>
      </w:pPr>
      <w:r>
        <w:rPr>
          <w:b/>
          <w:bCs/>
        </w:rPr>
        <w:t>Importatore</w:t>
      </w:r>
      <w:r>
        <w:t xml:space="preserve"> — </w:t>
      </w:r>
      <w:r>
        <w:rPr>
          <w:highlight w:val="cyan"/>
        </w:rPr>
        <w:t>immette sul mercato UE un prodotto extra-UE</w:t>
      </w:r>
      <w:r>
        <w:t>; verifica conformità, documentazione e istruzioni.</w:t>
      </w:r>
    </w:p>
    <w:p w14:paraId="1CEB5BEF" w14:textId="77777777" w:rsidR="00E35AFD" w:rsidRPr="00E35AFD" w:rsidRDefault="00E35AFD" w:rsidP="00E35AFD">
      <w:pPr>
        <w:pStyle w:val="Compact"/>
        <w:numPr>
          <w:ilvl w:val="0"/>
          <w:numId w:val="43"/>
        </w:numPr>
      </w:pPr>
      <w:r>
        <w:rPr>
          <w:b/>
          <w:bCs/>
        </w:rPr>
        <w:t>Distributore</w:t>
      </w:r>
      <w:r>
        <w:t xml:space="preserve"> — </w:t>
      </w:r>
      <w:r>
        <w:rPr>
          <w:highlight w:val="cyan"/>
        </w:rPr>
        <w:t>mette a disposizione il prodotto senza alterarne la conformità</w:t>
      </w:r>
      <w:r>
        <w:t>.</w:t>
      </w:r>
    </w:p>
    <w:p w14:paraId="0C3299D2" w14:textId="77777777" w:rsidR="00E35AFD" w:rsidRPr="00E35AFD" w:rsidRDefault="00E35AFD" w:rsidP="00E35AFD">
      <w:pPr>
        <w:pStyle w:val="Testodelblocco"/>
      </w:pPr>
      <w:r>
        <w:rPr>
          <w:highlight w:val="cyan"/>
        </w:rPr>
        <w:t>Se importatore o distributore modificano il prodotto o lo vendono col proprio nome/marchio, diventano a tutti gli effetti fabbricanti</w:t>
      </w:r>
      <w:r>
        <w:t>.</w:t>
      </w:r>
    </w:p>
    <w:p w14:paraId="0C43D766" w14:textId="77777777" w:rsidR="00E35AFD" w:rsidRPr="00E35AFD" w:rsidRDefault="00E35AFD" w:rsidP="00E35AFD">
      <w:pPr>
        <w:pStyle w:val="FirstParagraph"/>
      </w:pPr>
      <w:r>
        <w:rPr>
          <w:b/>
          <w:bCs/>
        </w:rPr>
        <w:t>Catena di distribuzione</w:t>
      </w:r>
      <w:r>
        <w:t xml:space="preserve"> (fabbricante extra-UE), 2 possibilità: </w:t>
      </w:r>
      <w:r>
        <w:rPr>
          <w:b/>
          <w:bCs/>
        </w:rPr>
        <w:t>delega il rappresentante autorizzato</w:t>
      </w:r>
      <w:r>
        <w:t xml:space="preserve"> (che ha gli oneri del fabbricante) → distributore → consumatore; oppure </w:t>
      </w:r>
      <w:r>
        <w:rPr>
          <w:b/>
          <w:bCs/>
        </w:rPr>
        <w:t>delega l’importatore</w:t>
      </w:r>
      <w:r>
        <w:t xml:space="preserve"> → distributore/consumatore. Il delegato è responsabile della conformità di quel singolo prodotto venduto.</w:t>
      </w:r>
    </w:p>
    <w:p w14:paraId="21AB09D2" w14:textId="77777777" w:rsidR="00E35AFD" w:rsidRPr="00E35AFD" w:rsidRDefault="00E35AFD" w:rsidP="00E35AFD">
      <w:pPr>
        <w:pStyle w:val="Corpotesto"/>
      </w:pPr>
      <w:r>
        <w:rPr>
          <w:b/>
          <w:bCs/>
        </w:rPr>
        <w:t>Tracciabilità</w:t>
      </w:r>
      <w:r>
        <w:t xml:space="preserve">: </w:t>
      </w:r>
      <w:r>
        <w:rPr>
          <w:highlight w:val="cyan"/>
        </w:rPr>
        <w:t>possibilità di ricostruire il percorso del prodotto lungo tutto il ciclo di vita</w:t>
      </w:r>
      <w:r>
        <w:t>.</w:t>
      </w:r>
    </w:p>
    <w:p w14:paraId="39A485BF" w14:textId="77777777" w:rsidR="00E35AFD" w:rsidRPr="00E35AFD" w:rsidRDefault="00E35AFD" w:rsidP="00E35AFD">
      <w:pPr>
        <w:pStyle w:val="Testodelblocco"/>
      </w:pPr>
      <w:r>
        <w:rPr>
          <w:highlight w:val="cyan"/>
        </w:rPr>
        <w:t>La marcatura CE non esonera il consumatore/utilizzatore dalle responsabilità verso i rischi palesi</w:t>
      </w:r>
      <w:r>
        <w:t>: l’utilizzatore deve verificare che la macchina non presenti rischi evidenti.</w:t>
      </w:r>
    </w:p>
    <w:bookmarkStart w:id="70" w:name="operatori-economici-e-responsabilità"/>
    <w:p w14:paraId="77ABBCA9" w14:textId="77777777" w:rsidR="00E35AFD" w:rsidRPr="004720B0" w:rsidRDefault="00000000" w:rsidP="00E35AFD">
      <w:r>
        <w:pict w14:anchorId="4CF1251A">
          <v:rect id="Rettangolo 13" o:spid="_x0000_s1034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  <w:bookmarkEnd w:id="70"/>
    </w:p>
    <w:p w14:paraId="12719C27" w14:textId="77777777" w:rsidR="00E35AFD" w:rsidRPr="004720B0" w:rsidRDefault="00E35AFD" w:rsidP="00E35AFD">
      <w:pPr>
        <w:pStyle w:val="Titolo2"/>
      </w:pPr>
      <w:r>
        <w:t>Organismo notificato vs accreditato</w:t>
      </w:r>
    </w:p>
    <w:p w14:paraId="2B804848" w14:textId="77777777" w:rsidR="00E35AFD" w:rsidRPr="00E35AFD" w:rsidRDefault="00E35AFD" w:rsidP="00E35AFD">
      <w:pPr>
        <w:pStyle w:val="Compact"/>
        <w:numPr>
          <w:ilvl w:val="0"/>
          <w:numId w:val="43"/>
        </w:numPr>
      </w:pPr>
      <w:r>
        <w:rPr>
          <w:b/>
          <w:bCs/>
        </w:rPr>
        <w:t>Organismo notificato</w:t>
      </w:r>
      <w:r>
        <w:t xml:space="preserve"> — </w:t>
      </w:r>
      <w:r>
        <w:rPr>
          <w:highlight w:val="cyan"/>
        </w:rPr>
        <w:t>autorizzato da uno Stato membro a svolgere valutazioni di conformità previste dalle direttive</w:t>
      </w:r>
      <w:r>
        <w:t>; opera su tutto il territorio UE. I criteri di notifica sono fatti dai Ministeri (enti pubblici) e variano da Paese a Paese.</w:t>
      </w:r>
    </w:p>
    <w:p w14:paraId="7361A9E6" w14:textId="77777777" w:rsidR="00E35AFD" w:rsidRPr="00E35AFD" w:rsidRDefault="00E35AFD" w:rsidP="00E35AFD">
      <w:pPr>
        <w:pStyle w:val="Compact"/>
        <w:numPr>
          <w:ilvl w:val="0"/>
          <w:numId w:val="43"/>
        </w:numPr>
      </w:pPr>
      <w:r>
        <w:rPr>
          <w:b/>
          <w:bCs/>
        </w:rPr>
        <w:t>Organismo accreditato</w:t>
      </w:r>
      <w:r>
        <w:t xml:space="preserve"> — </w:t>
      </w:r>
      <w:r>
        <w:rPr>
          <w:highlight w:val="cyan"/>
        </w:rPr>
        <w:t>riconosciuto competente, imparziale e affidabile dall’ente nazionale di accreditamento</w:t>
      </w:r>
      <w:r>
        <w:t xml:space="preserve"> (Accredia); i criteri di accreditamento sono univoci in tutta l’UE (UNI EN ISO 17000). L’accreditamento è un “controllo sul controllore”.</w:t>
      </w:r>
    </w:p>
    <w:p w14:paraId="04BFE228" w14:textId="77777777" w:rsidR="00E35AFD" w:rsidRPr="00E35AFD" w:rsidRDefault="00E35AFD" w:rsidP="00E35AFD">
      <w:pPr>
        <w:pStyle w:val="Testodelblocco"/>
      </w:pPr>
      <w:r>
        <w:t>Poiché tutti gli organismi devono essere preventivamente accreditati con criteri univoci, la notifica diventa un mero aspetto.</w:t>
      </w:r>
    </w:p>
    <w:bookmarkStart w:id="71" w:name="organismo-notificato-vs-accreditato"/>
    <w:p w14:paraId="5053C6E9" w14:textId="77777777" w:rsidR="00E35AFD" w:rsidRPr="004720B0" w:rsidRDefault="00000000" w:rsidP="00E35AFD">
      <w:r>
        <w:pict w14:anchorId="10F40F8C">
          <v:rect id="Rettangolo 15" o:spid="_x0000_s1033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  <w:bookmarkEnd w:id="71"/>
    </w:p>
    <w:p w14:paraId="3902C331" w14:textId="77777777" w:rsidR="00E35AFD" w:rsidRPr="004720B0" w:rsidRDefault="00E35AFD" w:rsidP="00E35AFD">
      <w:pPr>
        <w:pStyle w:val="Titolo2"/>
      </w:pPr>
      <w:r>
        <w:t>Gli 8 moduli di valutazione della conformità (A-H)</w:t>
      </w:r>
    </w:p>
    <w:p w14:paraId="3A0713E1" w14:textId="77777777" w:rsidR="00E35AFD" w:rsidRPr="00E35AFD" w:rsidRDefault="00E35AFD" w:rsidP="00E35AFD">
      <w:pPr>
        <w:pStyle w:val="FirstParagraph"/>
      </w:pPr>
      <w:r>
        <w:rPr>
          <w:b/>
          <w:bCs/>
        </w:rPr>
        <w:t>Gli 8 moduli</w:t>
      </w:r>
      <w:r>
        <w:t xml:space="preserve"> = </w:t>
      </w:r>
      <w:r>
        <w:rPr>
          <w:highlight w:val="cyan"/>
        </w:rPr>
        <w:t>insiemi di procedure per valutare la conformità di un prodotto</w:t>
      </w:r>
      <w:r>
        <w:t xml:space="preserve">. Possono riguardare progettazione, fabbricazione e installazione. </w:t>
      </w:r>
      <w:r>
        <w:rPr>
          <w:highlight w:val="cyan"/>
        </w:rPr>
        <w:t>Il modulo è indicato dalla direttiva o scelto dal fabbricante tra quelli consentiti</w:t>
      </w:r>
      <w:r>
        <w:t>. Più il prodotto è complesso/rischioso, maggiore è il coinvolgimento dell’ente terzo.</w:t>
      </w:r>
    </w:p>
    <w:tbl>
      <w:tblPr>
        <w:tblStyle w:val="Table"/>
        <w:tblW w:w="50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35AFD" w:rsidRPr="00E35AFD" w14:paraId="7D4A89EF" w14:textId="77777777" w:rsidTr="00E46D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20" w:type="dxa"/>
            <w:tcBorders>
              <w:bottom w:val="single" w:sz="6" w:space="0" w:color="000000"/>
            </w:tcBorders>
          </w:tcPr>
          <w:p w14:paraId="3C9279DA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t>Modulo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</w:tcPr>
          <w:p w14:paraId="5A59753D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t>Cosa riguarda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</w:tcPr>
          <w:p w14:paraId="34F38538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t>Organismo notificato</w:t>
            </w:r>
          </w:p>
        </w:tc>
      </w:tr>
      <w:tr w:rsidR="00E35AFD" w:rsidRPr="00E35AFD" w14:paraId="7F34393C" w14:textId="77777777" w:rsidTr="00E46D54">
        <w:tc>
          <w:tcPr>
            <w:tcW w:w="3120" w:type="dxa"/>
          </w:tcPr>
          <w:p w14:paraId="2F9A98CD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lastRenderedPageBreak/>
              <w:t>A</w:t>
            </w:r>
          </w:p>
        </w:tc>
        <w:tc>
          <w:tcPr>
            <w:tcW w:w="3120" w:type="dxa"/>
          </w:tcPr>
          <w:p w14:paraId="58E4B76E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  <w:highlight w:val="cyan"/>
              </w:rPr>
              <w:t>Controllo interno di fabbricazione</w:t>
            </w:r>
            <w:r>
              <w:rPr>
                <w:rFonts w:eastAsia="Cambria"/>
              </w:rPr>
              <w:t xml:space="preserve"> (progettazione + fabbricazione)</w:t>
            </w:r>
          </w:p>
        </w:tc>
        <w:tc>
          <w:tcPr>
            <w:tcW w:w="3120" w:type="dxa"/>
          </w:tcPr>
          <w:p w14:paraId="595DD153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No (autonomia del fabbricante); A1/A2 aggiungono prove</w:t>
            </w:r>
          </w:p>
        </w:tc>
      </w:tr>
      <w:tr w:rsidR="00E35AFD" w:rsidRPr="00E35AFD" w14:paraId="71AEA322" w14:textId="77777777" w:rsidTr="00E46D54">
        <w:tc>
          <w:tcPr>
            <w:tcW w:w="3120" w:type="dxa"/>
          </w:tcPr>
          <w:p w14:paraId="1184BC12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t>B</w:t>
            </w:r>
          </w:p>
        </w:tc>
        <w:tc>
          <w:tcPr>
            <w:tcW w:w="3120" w:type="dxa"/>
          </w:tcPr>
          <w:p w14:paraId="2C2FA906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  <w:highlight w:val="cyan"/>
              </w:rPr>
              <w:t>Esame CE del tipo</w:t>
            </w:r>
            <w:r>
              <w:rPr>
                <w:rFonts w:eastAsia="Cambria"/>
              </w:rPr>
              <w:t xml:space="preserve"> (fase di progettazione)</w:t>
            </w:r>
          </w:p>
        </w:tc>
        <w:tc>
          <w:tcPr>
            <w:tcW w:w="3120" w:type="dxa"/>
          </w:tcPr>
          <w:p w14:paraId="3B7424A5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Sì — sempre seguito da C/D/E/F</w:t>
            </w:r>
          </w:p>
        </w:tc>
      </w:tr>
      <w:tr w:rsidR="00E35AFD" w:rsidRPr="00E35AFD" w14:paraId="37789841" w14:textId="77777777" w:rsidTr="00E46D54">
        <w:tc>
          <w:tcPr>
            <w:tcW w:w="3120" w:type="dxa"/>
          </w:tcPr>
          <w:p w14:paraId="53B53D58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t>C</w:t>
            </w:r>
          </w:p>
        </w:tc>
        <w:tc>
          <w:tcPr>
            <w:tcW w:w="3120" w:type="dxa"/>
          </w:tcPr>
          <w:p w14:paraId="6AFF4BAF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  <w:highlight w:val="cyan"/>
              </w:rPr>
              <w:t>Conformità al tipo</w:t>
            </w:r>
            <w:r>
              <w:rPr>
                <w:rFonts w:eastAsia="Cambria"/>
              </w:rPr>
              <w:t xml:space="preserve"> (dichiarazione dell’installatore)</w:t>
            </w:r>
          </w:p>
        </w:tc>
        <w:tc>
          <w:tcPr>
            <w:tcW w:w="3120" w:type="dxa"/>
          </w:tcPr>
          <w:p w14:paraId="5F0755EF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Variabile</w:t>
            </w:r>
          </w:p>
        </w:tc>
      </w:tr>
      <w:tr w:rsidR="00E35AFD" w:rsidRPr="00E35AFD" w14:paraId="7DBD107A" w14:textId="77777777" w:rsidTr="00E46D54">
        <w:tc>
          <w:tcPr>
            <w:tcW w:w="3120" w:type="dxa"/>
          </w:tcPr>
          <w:p w14:paraId="2875B4B4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t>D</w:t>
            </w:r>
          </w:p>
        </w:tc>
        <w:tc>
          <w:tcPr>
            <w:tcW w:w="3120" w:type="dxa"/>
          </w:tcPr>
          <w:p w14:paraId="46A234FB" w14:textId="77777777" w:rsidR="00E35AFD" w:rsidRPr="00BF34CB" w:rsidRDefault="00E35AFD" w:rsidP="00E46D54">
            <w:pPr>
              <w:pStyle w:val="Compact"/>
              <w:rPr>
                <w:rFonts w:ascii="Cambria" w:eastAsia="Cambria" w:hAnsi="Cambria"/>
                <w:highlight w:val="cyan"/>
              </w:rPr>
            </w:pPr>
            <w:r>
              <w:rPr>
                <w:rFonts w:eastAsia="Cambria"/>
                <w:highlight w:val="cyan"/>
              </w:rPr>
              <w:t>Garanzia qualità produzione</w:t>
            </w:r>
          </w:p>
        </w:tc>
        <w:tc>
          <w:tcPr>
            <w:tcW w:w="3120" w:type="dxa"/>
          </w:tcPr>
          <w:p w14:paraId="57D767FC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Sì</w:t>
            </w:r>
          </w:p>
        </w:tc>
      </w:tr>
      <w:tr w:rsidR="00E35AFD" w:rsidRPr="00E35AFD" w14:paraId="044FAC29" w14:textId="77777777" w:rsidTr="00E46D54">
        <w:tc>
          <w:tcPr>
            <w:tcW w:w="3120" w:type="dxa"/>
          </w:tcPr>
          <w:p w14:paraId="592E01AB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t>E</w:t>
            </w:r>
          </w:p>
        </w:tc>
        <w:tc>
          <w:tcPr>
            <w:tcW w:w="3120" w:type="dxa"/>
          </w:tcPr>
          <w:p w14:paraId="5502E5F2" w14:textId="77777777" w:rsidR="00E35AFD" w:rsidRPr="00BF34CB" w:rsidRDefault="00E35AFD" w:rsidP="00E46D54">
            <w:pPr>
              <w:pStyle w:val="Compact"/>
              <w:rPr>
                <w:rFonts w:ascii="Cambria" w:eastAsia="Cambria" w:hAnsi="Cambria"/>
                <w:highlight w:val="cyan"/>
              </w:rPr>
            </w:pPr>
            <w:r>
              <w:rPr>
                <w:rFonts w:eastAsia="Cambria"/>
                <w:highlight w:val="cyan"/>
              </w:rPr>
              <w:t>Garanzia qualità prodotti</w:t>
            </w:r>
          </w:p>
        </w:tc>
        <w:tc>
          <w:tcPr>
            <w:tcW w:w="3120" w:type="dxa"/>
          </w:tcPr>
          <w:p w14:paraId="6B3C532C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Sì</w:t>
            </w:r>
          </w:p>
        </w:tc>
      </w:tr>
      <w:tr w:rsidR="00E35AFD" w:rsidRPr="00E35AFD" w14:paraId="2912555D" w14:textId="77777777" w:rsidTr="00E46D54">
        <w:tc>
          <w:tcPr>
            <w:tcW w:w="3120" w:type="dxa"/>
          </w:tcPr>
          <w:p w14:paraId="7F8C4708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t>F</w:t>
            </w:r>
          </w:p>
        </w:tc>
        <w:tc>
          <w:tcPr>
            <w:tcW w:w="3120" w:type="dxa"/>
          </w:tcPr>
          <w:p w14:paraId="438DE934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  <w:highlight w:val="cyan"/>
              </w:rPr>
              <w:t>Verifica su prodotto</w:t>
            </w:r>
            <w:r>
              <w:rPr>
                <w:rFonts w:eastAsia="Cambria"/>
              </w:rPr>
              <w:t xml:space="preserve"> (fase di fabbricazione)</w:t>
            </w:r>
          </w:p>
        </w:tc>
        <w:tc>
          <w:tcPr>
            <w:tcW w:w="3120" w:type="dxa"/>
          </w:tcPr>
          <w:p w14:paraId="36384DED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Sì</w:t>
            </w:r>
          </w:p>
        </w:tc>
      </w:tr>
      <w:tr w:rsidR="00E35AFD" w:rsidRPr="00E35AFD" w14:paraId="54162DE3" w14:textId="77777777" w:rsidTr="00E46D54">
        <w:tc>
          <w:tcPr>
            <w:tcW w:w="3120" w:type="dxa"/>
          </w:tcPr>
          <w:p w14:paraId="3F61A993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t>G</w:t>
            </w:r>
          </w:p>
        </w:tc>
        <w:tc>
          <w:tcPr>
            <w:tcW w:w="3120" w:type="dxa"/>
          </w:tcPr>
          <w:p w14:paraId="20B34F9C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  <w:highlight w:val="cyan"/>
              </w:rPr>
              <w:t>Verifica su singolo prodotto/unità</w:t>
            </w:r>
          </w:p>
        </w:tc>
        <w:tc>
          <w:tcPr>
            <w:tcW w:w="3120" w:type="dxa"/>
          </w:tcPr>
          <w:p w14:paraId="1A01DA08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Sì</w:t>
            </w:r>
          </w:p>
        </w:tc>
      </w:tr>
      <w:tr w:rsidR="00E35AFD" w:rsidRPr="00E35AFD" w14:paraId="05BF179C" w14:textId="77777777" w:rsidTr="00E46D54">
        <w:tc>
          <w:tcPr>
            <w:tcW w:w="3120" w:type="dxa"/>
          </w:tcPr>
          <w:p w14:paraId="71EB3427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t>H</w:t>
            </w:r>
          </w:p>
        </w:tc>
        <w:tc>
          <w:tcPr>
            <w:tcW w:w="3120" w:type="dxa"/>
          </w:tcPr>
          <w:p w14:paraId="673CC270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  <w:highlight w:val="cyan"/>
              </w:rPr>
              <w:t>Garanzia qualità totale</w:t>
            </w:r>
            <w:r>
              <w:rPr>
                <w:rFonts w:eastAsia="Cambria"/>
              </w:rPr>
              <w:t xml:space="preserve"> (progettazione + fabbricazione, sistema qualità)</w:t>
            </w:r>
          </w:p>
        </w:tc>
        <w:tc>
          <w:tcPr>
            <w:tcW w:w="3120" w:type="dxa"/>
          </w:tcPr>
          <w:p w14:paraId="20FC2FB6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Sì</w:t>
            </w:r>
          </w:p>
        </w:tc>
      </w:tr>
    </w:tbl>
    <w:p w14:paraId="0EF981E2" w14:textId="77777777" w:rsidR="00E35AFD" w:rsidRPr="00E35AFD" w:rsidRDefault="00E35AFD" w:rsidP="00E35AFD">
      <w:pPr>
        <w:pStyle w:val="Corpotesto"/>
      </w:pPr>
      <w:r>
        <w:rPr>
          <w:b/>
          <w:bCs/>
        </w:rPr>
        <w:t>Logica della prima domanda</w:t>
      </w:r>
      <w:r>
        <w:t xml:space="preserve"> (schema): il prodotto è in Allegato IV della Direttiva Macchine (presse pneumatiche, macchine per lavorazione legno…)? → ha rischi specifici → rispetta le norme armonizzate? Sì (modulo a scelta del fabbricante) / No (modulo B). Se non è in Allegato IV → Modulo A (dichiarazione di conformità del fabbricante). NB: la dichiarazione di conformità ci vuole in ogni caso, che il prodotto sia certificato o meno.</w:t>
      </w:r>
    </w:p>
    <w:bookmarkStart w:id="72" w:name="X0d2593d77d5ae2314e8ff9d9b650be5073b11da"/>
    <w:p w14:paraId="14F87626" w14:textId="77777777" w:rsidR="00E35AFD" w:rsidRPr="004720B0" w:rsidRDefault="00000000" w:rsidP="00E35AFD">
      <w:r>
        <w:pict w14:anchorId="5E81CA4C">
          <v:rect id="Rettangolo 17" o:spid="_x0000_s1032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  <w:bookmarkEnd w:id="72"/>
    </w:p>
    <w:p w14:paraId="1AD94861" w14:textId="77777777" w:rsidR="00E35AFD" w:rsidRPr="004720B0" w:rsidRDefault="00E35AFD" w:rsidP="00E35AFD">
      <w:pPr>
        <w:pStyle w:val="Titolo2"/>
      </w:pPr>
      <w:r>
        <w:t>Sistema vs Apparato</w:t>
      </w:r>
    </w:p>
    <w:tbl>
      <w:tblPr>
        <w:tblStyle w:val="Table"/>
        <w:tblW w:w="50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4787"/>
        <w:gridCol w:w="4789"/>
      </w:tblGrid>
      <w:tr w:rsidR="00E35AFD" w:rsidRPr="00E35AFD" w14:paraId="4D9919CB" w14:textId="77777777" w:rsidTr="00E46D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79" w:type="dxa"/>
            <w:tcBorders>
              <w:bottom w:val="single" w:sz="6" w:space="0" w:color="000000"/>
            </w:tcBorders>
          </w:tcPr>
          <w:p w14:paraId="1CBA6A09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t>Sistema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</w:tcPr>
          <w:p w14:paraId="3682A8F9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t>Apparato</w:t>
            </w:r>
          </w:p>
        </w:tc>
      </w:tr>
      <w:tr w:rsidR="00E35AFD" w:rsidRPr="00E35AFD" w14:paraId="57A024C7" w14:textId="77777777" w:rsidTr="00E46D54">
        <w:tc>
          <w:tcPr>
            <w:tcW w:w="4679" w:type="dxa"/>
          </w:tcPr>
          <w:p w14:paraId="057F6993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  <w:highlight w:val="cyan"/>
              </w:rPr>
              <w:t>Più componenti in posizione fissa, che non interagiscono</w:t>
            </w:r>
            <w:r>
              <w:rPr>
                <w:rFonts w:eastAsia="Cambria"/>
              </w:rPr>
              <w:t xml:space="preserve"> (es. unità centrale + tastiera + monitor)</w:t>
            </w:r>
          </w:p>
        </w:tc>
        <w:tc>
          <w:tcPr>
            <w:tcW w:w="4680" w:type="dxa"/>
          </w:tcPr>
          <w:p w14:paraId="0401E44E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  <w:highlight w:val="cyan"/>
              </w:rPr>
              <w:t>Apparecchio di più componenti che interagiscono</w:t>
            </w:r>
            <w:r>
              <w:rPr>
                <w:rFonts w:eastAsia="Cambria"/>
              </w:rPr>
              <w:t xml:space="preserve"> (es. un PC: alimentatore + scheda madre + hard disk)</w:t>
            </w:r>
          </w:p>
        </w:tc>
      </w:tr>
      <w:tr w:rsidR="00E35AFD" w:rsidRPr="00E35AFD" w14:paraId="32A13F29" w14:textId="77777777" w:rsidTr="00E46D54">
        <w:tc>
          <w:tcPr>
            <w:tcW w:w="4679" w:type="dxa"/>
          </w:tcPr>
          <w:p w14:paraId="35AFD916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  <w:highlight w:val="cyan"/>
              </w:rPr>
              <w:t>Se composto da soli componenti già marcati CE → conforme</w:t>
            </w:r>
            <w:r>
              <w:rPr>
                <w:rFonts w:eastAsia="Cambria"/>
              </w:rPr>
              <w:t xml:space="preserve"> senza ulteriori dimostrazioni; serve solo una dichiarazione di conformità per il sistema</w:t>
            </w:r>
          </w:p>
        </w:tc>
        <w:tc>
          <w:tcPr>
            <w:tcW w:w="4680" w:type="dxa"/>
          </w:tcPr>
          <w:p w14:paraId="3627DEF5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  <w:highlight w:val="cyan"/>
              </w:rPr>
              <w:t>Deve essere rimarcato CE</w:t>
            </w:r>
            <w:r>
              <w:rPr>
                <w:rFonts w:eastAsia="Cambria"/>
              </w:rPr>
              <w:t>; serve sempre una dichiarazione di conformità per l’apparato</w:t>
            </w:r>
          </w:p>
        </w:tc>
      </w:tr>
    </w:tbl>
    <w:bookmarkStart w:id="73" w:name="sistema-vs-apparato"/>
    <w:p w14:paraId="6F00DFC8" w14:textId="77777777" w:rsidR="00E35AFD" w:rsidRPr="004720B0" w:rsidRDefault="00000000" w:rsidP="00E35AFD">
      <w:r>
        <w:pict w14:anchorId="4609A97B">
          <v:rect id="Rettangolo 19" o:spid="_x0000_s1031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  <w:bookmarkEnd w:id="73"/>
    </w:p>
    <w:p w14:paraId="0F95FE56" w14:textId="77777777" w:rsidR="00E35AFD" w:rsidRPr="004720B0" w:rsidRDefault="00E35AFD" w:rsidP="00E35AFD">
      <w:pPr>
        <w:pStyle w:val="Titolo2"/>
      </w:pPr>
      <w:r>
        <w:t>Direttiva Macchine vs Regolamento Macchine</w:t>
      </w:r>
    </w:p>
    <w:tbl>
      <w:tblPr>
        <w:tblStyle w:val="Table"/>
        <w:tblW w:w="50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4787"/>
        <w:gridCol w:w="4789"/>
      </w:tblGrid>
      <w:tr w:rsidR="00E35AFD" w:rsidRPr="00E35AFD" w14:paraId="24095D97" w14:textId="77777777" w:rsidTr="00E46D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79" w:type="dxa"/>
            <w:tcBorders>
              <w:bottom w:val="single" w:sz="6" w:space="0" w:color="000000"/>
            </w:tcBorders>
          </w:tcPr>
          <w:p w14:paraId="084AD454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t>Direttiva Macchine (</w:t>
            </w:r>
            <w:proofErr w:type="spellStart"/>
            <w:r>
              <w:rPr>
                <w:rFonts w:eastAsia="Cambria"/>
                <w:b/>
                <w:bCs/>
              </w:rPr>
              <w:t>D.Lgs.</w:t>
            </w:r>
            <w:proofErr w:type="spellEnd"/>
            <w:r>
              <w:rPr>
                <w:rFonts w:eastAsia="Cambria"/>
                <w:b/>
                <w:bCs/>
              </w:rPr>
              <w:t xml:space="preserve"> 2006/42/CE)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</w:tcPr>
          <w:p w14:paraId="39C05F00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>
              <w:rPr>
                <w:rFonts w:eastAsia="Cambria"/>
                <w:b/>
                <w:bCs/>
              </w:rPr>
              <w:t>Regolamento Macchine (2023/1230/UE)</w:t>
            </w:r>
          </w:p>
        </w:tc>
      </w:tr>
      <w:tr w:rsidR="00E35AFD" w:rsidRPr="00E35AFD" w14:paraId="151425D4" w14:textId="77777777" w:rsidTr="00E46D54">
        <w:tc>
          <w:tcPr>
            <w:tcW w:w="4679" w:type="dxa"/>
          </w:tcPr>
          <w:p w14:paraId="1658347D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Vigente fino al 19 gennaio 2027</w:t>
            </w:r>
          </w:p>
        </w:tc>
        <w:tc>
          <w:tcPr>
            <w:tcW w:w="4680" w:type="dxa"/>
          </w:tcPr>
          <w:p w14:paraId="50E24F97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>In vigore dal 20 gennaio 2027</w:t>
            </w:r>
          </w:p>
        </w:tc>
      </w:tr>
      <w:tr w:rsidR="00E35AFD" w:rsidRPr="00E35AFD" w14:paraId="2AAE4ACA" w14:textId="77777777" w:rsidTr="00E46D54">
        <w:tc>
          <w:tcPr>
            <w:tcW w:w="4679" w:type="dxa"/>
          </w:tcPr>
          <w:p w14:paraId="40FC04EA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I prodotti devono essere conformi alla </w:t>
            </w:r>
            <w:r>
              <w:rPr>
                <w:rFonts w:eastAsia="Cambria"/>
              </w:rPr>
              <w:lastRenderedPageBreak/>
              <w:t>Direttiva</w:t>
            </w:r>
          </w:p>
        </w:tc>
        <w:tc>
          <w:tcPr>
            <w:tcW w:w="4680" w:type="dxa"/>
          </w:tcPr>
          <w:p w14:paraId="1F55691D" w14:textId="77777777" w:rsidR="00E35AFD" w:rsidRPr="00E35AFD" w:rsidRDefault="00E35AFD" w:rsidP="00E46D54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lastRenderedPageBreak/>
              <w:t xml:space="preserve">I prodotti dovranno essere conformi al </w:t>
            </w:r>
            <w:r>
              <w:rPr>
                <w:rFonts w:eastAsia="Cambria"/>
              </w:rPr>
              <w:lastRenderedPageBreak/>
              <w:t>Regolamento</w:t>
            </w:r>
          </w:p>
        </w:tc>
      </w:tr>
    </w:tbl>
    <w:p w14:paraId="7B77E545" w14:textId="77777777" w:rsidR="00E35AFD" w:rsidRPr="00E35AFD" w:rsidRDefault="00E35AFD" w:rsidP="00E35AFD">
      <w:pPr>
        <w:pStyle w:val="Corpotesto"/>
      </w:pPr>
      <w:r>
        <w:rPr>
          <w:b/>
          <w:bCs/>
        </w:rPr>
        <w:lastRenderedPageBreak/>
        <w:t>Differenze principali</w:t>
      </w:r>
      <w:r>
        <w:t xml:space="preserve">: - </w:t>
      </w:r>
      <w:r>
        <w:rPr>
          <w:highlight w:val="cyan"/>
        </w:rPr>
        <w:t>I requisiti non si chiamano più RES ma RESS</w:t>
      </w:r>
      <w:r>
        <w:t xml:space="preserve">. - </w:t>
      </w:r>
      <w:r>
        <w:rPr>
          <w:highlight w:val="cyan"/>
        </w:rPr>
        <w:t>I macchinari pericolosi</w:t>
      </w:r>
      <w:r>
        <w:t xml:space="preserve"> (per cui si applica una delle </w:t>
      </w:r>
      <w:proofErr w:type="gramStart"/>
      <w:r>
        <w:t>8</w:t>
      </w:r>
      <w:proofErr w:type="gramEnd"/>
      <w:r>
        <w:t xml:space="preserve"> procedure) </w:t>
      </w:r>
      <w:r>
        <w:rPr>
          <w:highlight w:val="cyan"/>
        </w:rPr>
        <w:t>non sono più nell’Allegato IV ma nell’Allegato I</w:t>
      </w:r>
      <w:r>
        <w:t>. - Gli Allegati VI e successivi corrispondono agli 8 moduli.</w:t>
      </w:r>
    </w:p>
    <w:p w14:paraId="41A3899E" w14:textId="77777777" w:rsidR="00E35AFD" w:rsidRPr="00E35AFD" w:rsidRDefault="00E35AFD" w:rsidP="00E35AFD">
      <w:pPr>
        <w:pStyle w:val="Corpotesto"/>
      </w:pPr>
      <w:r>
        <w:rPr>
          <w:b/>
          <w:bCs/>
        </w:rPr>
        <w:t>Campo di applicazione</w:t>
      </w:r>
      <w:r>
        <w:t xml:space="preserve">: macchine, componenti di sicurezza, quasi-macchine. - </w:t>
      </w:r>
      <w:r>
        <w:rPr>
          <w:highlight w:val="cyan"/>
        </w:rPr>
        <w:t>Macchina = insieme di parti collegate, almeno una mobile, mossa da energia diversa dalla sola forza umana</w:t>
      </w:r>
      <w:r>
        <w:t xml:space="preserve">. - </w:t>
      </w:r>
      <w:r>
        <w:rPr>
          <w:highlight w:val="cyan"/>
        </w:rPr>
        <w:t>Quasi-macchina = insieme che non funziona da solo: deve essere accoppiato ad un’altra macchina</w:t>
      </w:r>
      <w:r>
        <w:t xml:space="preserve">. Quindi: niente marcatura CE (non soddisfa tutti i RESS), dichiarazione di incorporazione (non di conformità), manuale di istruzioni di assemblaggio (non d’uso). - </w:t>
      </w:r>
      <w:r>
        <w:rPr>
          <w:highlight w:val="cyan"/>
        </w:rPr>
        <w:t>Componenti di sicurezza = elementi fisici o digitali con funzione di sicurezza; se guasti aumentano il rischio</w:t>
      </w:r>
      <w:r>
        <w:t>.</w:t>
      </w:r>
    </w:p>
    <w:p w14:paraId="39E34E7C" w14:textId="77777777" w:rsidR="00E35AFD" w:rsidRPr="00E35AFD" w:rsidRDefault="00E35AFD" w:rsidP="00E35AFD">
      <w:pPr>
        <w:pStyle w:val="Testodelblocco"/>
      </w:pPr>
      <w:r>
        <w:t>Una linea di produzione di più quasi-macchine/macchine messe insieme va rimarcata CE nell’intera linea, compito dell’assemblatore.</w:t>
      </w:r>
    </w:p>
    <w:p w14:paraId="6046CDF3" w14:textId="77777777" w:rsidR="00E35AFD" w:rsidRPr="00E35AFD" w:rsidRDefault="00E35AFD" w:rsidP="00E35AFD">
      <w:pPr>
        <w:pStyle w:val="FirstParagraph"/>
      </w:pPr>
      <w:r>
        <w:rPr>
          <w:b/>
          <w:bCs/>
        </w:rPr>
        <w:t>Esclusioni</w:t>
      </w:r>
      <w:r>
        <w:t xml:space="preserve">: </w:t>
      </w:r>
      <w:r>
        <w:rPr>
          <w:highlight w:val="cyan"/>
        </w:rPr>
        <w:t>macchine manuali la cui unica fonte di energia è la forza umana</w:t>
      </w:r>
      <w:r>
        <w:t xml:space="preserve"> (utensili: pinze, martelli, forbici; carrelli a ruote, carriole).</w:t>
      </w:r>
    </w:p>
    <w:bookmarkStart w:id="74" w:name="Xd56495b30c68eef8afbcf4d68a29cb1f100b899"/>
    <w:p w14:paraId="1757DA7E" w14:textId="77777777" w:rsidR="00E35AFD" w:rsidRPr="004720B0" w:rsidRDefault="00000000" w:rsidP="00E35AFD">
      <w:r>
        <w:pict w14:anchorId="7D5CE5B1">
          <v:rect id="Rettangolo 21" o:spid="_x0000_s1030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  <w:bookmarkEnd w:id="74"/>
    </w:p>
    <w:p w14:paraId="2065C6E0" w14:textId="77777777" w:rsidR="00E35AFD" w:rsidRPr="004720B0" w:rsidRDefault="00E35AFD" w:rsidP="00E35AFD">
      <w:pPr>
        <w:pStyle w:val="Titolo2"/>
      </w:pPr>
      <w:r>
        <w:t>Documentazione della macchina</w:t>
      </w:r>
    </w:p>
    <w:p w14:paraId="7B8B5491" w14:textId="77777777" w:rsidR="00E35AFD" w:rsidRPr="00E35AFD" w:rsidRDefault="00E35AFD" w:rsidP="00E35AFD">
      <w:pPr>
        <w:pStyle w:val="FirstParagraph"/>
      </w:pPr>
      <w:r>
        <w:rPr>
          <w:b/>
          <w:bCs/>
        </w:rPr>
        <w:t>Fascicolo tecnico</w:t>
      </w:r>
      <w:r>
        <w:t xml:space="preserve"> = </w:t>
      </w:r>
      <w:r>
        <w:rPr>
          <w:highlight w:val="cyan"/>
        </w:rPr>
        <w:t>raccoglie tutte le info sulla macchina</w:t>
      </w:r>
      <w:r>
        <w:t xml:space="preserve">; </w:t>
      </w:r>
      <w:r>
        <w:rPr>
          <w:highlight w:val="cyan"/>
        </w:rPr>
        <w:t>strumento dinamico che la segue in tutte le fasi del ciclo di vita</w:t>
      </w:r>
      <w:r>
        <w:t xml:space="preserve">. </w:t>
      </w:r>
      <w:r>
        <w:rPr>
          <w:highlight w:val="cyan"/>
        </w:rPr>
        <w:t>Deve dimostrare la conformità ai RES</w:t>
      </w:r>
      <w:r>
        <w:t xml:space="preserve">. - </w:t>
      </w:r>
      <w:r>
        <w:rPr>
          <w:i/>
          <w:iCs/>
        </w:rPr>
        <w:t>Lingua:</w:t>
      </w:r>
      <w:r>
        <w:t xml:space="preserve"> del fabbricante. - </w:t>
      </w:r>
      <w:r>
        <w:rPr>
          <w:i/>
          <w:iCs/>
        </w:rPr>
        <w:t>Contenuti:</w:t>
      </w:r>
      <w:r>
        <w:t xml:space="preserve"> descrizione completa, valutazione del rischio, elenco dei RESS, elenco dei rischi residui (ineliminabili). - </w:t>
      </w:r>
      <w:r>
        <w:rPr>
          <w:i/>
          <w:iCs/>
        </w:rPr>
        <w:t>Scadenza:</w:t>
      </w:r>
      <w:r>
        <w:t xml:space="preserve"> messo a disposizione per almeno </w:t>
      </w:r>
      <w:proofErr w:type="gramStart"/>
      <w:r>
        <w:t>10</w:t>
      </w:r>
      <w:proofErr w:type="gramEnd"/>
      <w:r>
        <w:t xml:space="preserve"> anni dalla fabbricazione. - </w:t>
      </w:r>
      <w:r>
        <w:rPr>
          <w:i/>
          <w:iCs/>
        </w:rPr>
        <w:t>NB:</w:t>
      </w:r>
      <w:r>
        <w:t xml:space="preserve"> non dev’essere sempre disponibile, ma reso disponibile in tempi brevi se richiesto; redatto dal fabbricante.</w:t>
      </w:r>
    </w:p>
    <w:p w14:paraId="2B382CAC" w14:textId="77777777" w:rsidR="00E35AFD" w:rsidRPr="00E35AFD" w:rsidRDefault="00E35AFD" w:rsidP="00E35AFD">
      <w:pPr>
        <w:pStyle w:val="Corpotesto"/>
      </w:pPr>
      <w:r>
        <w:rPr>
          <w:b/>
          <w:bCs/>
        </w:rPr>
        <w:t>Manuale d’uso / istruzioni</w:t>
      </w:r>
      <w:r>
        <w:t xml:space="preserve"> = </w:t>
      </w:r>
      <w:r>
        <w:rPr>
          <w:highlight w:val="cyan"/>
        </w:rPr>
        <w:t>istruzioni per l’uso + indicazioni sui simboli normalizzati del pannello di comando</w:t>
      </w:r>
      <w:r>
        <w:t xml:space="preserve"> (on-off, rischio elettrico, ustione…). </w:t>
      </w:r>
      <w:r>
        <w:rPr>
          <w:i/>
          <w:iCs/>
        </w:rPr>
        <w:t>Lingua:</w:t>
      </w:r>
      <w:r>
        <w:t xml:space="preserve"> le lingue accettate da ciascuno Stato membro (esiste una tabella per Paese). </w:t>
      </w:r>
      <w:r>
        <w:rPr>
          <w:i/>
          <w:iCs/>
        </w:rPr>
        <w:t>Novità Regolamento:</w:t>
      </w:r>
      <w:r>
        <w:t xml:space="preserve"> istruzioni in formato digitale, con obbligo di copia cartacea se richiesta.</w:t>
      </w:r>
    </w:p>
    <w:p w14:paraId="25168ED7" w14:textId="77777777" w:rsidR="00E35AFD" w:rsidRPr="00E35AFD" w:rsidRDefault="00E35AFD" w:rsidP="00E35AFD">
      <w:pPr>
        <w:pStyle w:val="Corpotesto"/>
      </w:pPr>
      <w:r>
        <w:rPr>
          <w:b/>
          <w:bCs/>
        </w:rPr>
        <w:t>Manuale per il tecnico</w:t>
      </w:r>
      <w:r>
        <w:t xml:space="preserve"> — redatto in inglese.</w:t>
      </w:r>
    </w:p>
    <w:p w14:paraId="6D72851A" w14:textId="77777777" w:rsidR="00E35AFD" w:rsidRPr="00E35AFD" w:rsidRDefault="00E35AFD" w:rsidP="00E35AFD">
      <w:pPr>
        <w:pStyle w:val="Corpotesto"/>
      </w:pPr>
      <w:r>
        <w:rPr>
          <w:b/>
          <w:bCs/>
        </w:rPr>
        <w:t>Dichiarazione di conformità</w:t>
      </w:r>
      <w:r>
        <w:t xml:space="preserve"> = </w:t>
      </w:r>
      <w:r>
        <w:rPr>
          <w:highlight w:val="cyan"/>
        </w:rPr>
        <w:t>redatta dal fabbricante; riguarda la macchina nella sua configurazione originale</w:t>
      </w:r>
      <w:r>
        <w:t xml:space="preserve">. </w:t>
      </w:r>
      <w:r>
        <w:rPr>
          <w:i/>
          <w:iCs/>
        </w:rPr>
        <w:t>Lingua:</w:t>
      </w:r>
      <w:r>
        <w:t xml:space="preserve"> come il manuale d’istruzioni. </w:t>
      </w:r>
      <w:r>
        <w:rPr>
          <w:i/>
          <w:iCs/>
        </w:rPr>
        <w:t>Scadenza:</w:t>
      </w:r>
      <w:r>
        <w:t xml:space="preserve"> originale custodito </w:t>
      </w:r>
      <w:proofErr w:type="gramStart"/>
      <w:r>
        <w:t>10</w:t>
      </w:r>
      <w:proofErr w:type="gramEnd"/>
      <w:r>
        <w:t xml:space="preserve"> anni. </w:t>
      </w:r>
      <w:r>
        <w:rPr>
          <w:i/>
          <w:iCs/>
        </w:rPr>
        <w:t>Firmatario:</w:t>
      </w:r>
      <w:r>
        <w:t xml:space="preserve"> fabbricante/legale rappresentante/datore di lavoro; oppure delegato + fabbricante (il delegato attesta la conformità di quella macchina, il fabbricante di tutta la linea).</w:t>
      </w:r>
    </w:p>
    <w:bookmarkStart w:id="75" w:name="documentazione-della-macchina"/>
    <w:p w14:paraId="5D691CB9" w14:textId="77777777" w:rsidR="00E35AFD" w:rsidRPr="004720B0" w:rsidRDefault="00000000" w:rsidP="00E35AFD">
      <w:r>
        <w:pict w14:anchorId="20940A42">
          <v:rect id="Rettangolo 23" o:spid="_x0000_s1029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  <w:bookmarkEnd w:id="75"/>
    </w:p>
    <w:p w14:paraId="247FBCCD" w14:textId="77777777" w:rsidR="00E35AFD" w:rsidRPr="004720B0" w:rsidRDefault="00E35AFD" w:rsidP="00E35AFD">
      <w:pPr>
        <w:pStyle w:val="Titolo2"/>
      </w:pPr>
      <w:r>
        <w:lastRenderedPageBreak/>
        <w:t>Valutazione del rischio</w:t>
      </w:r>
    </w:p>
    <w:p w14:paraId="537AC4E9" w14:textId="77777777" w:rsidR="00E35AFD" w:rsidRPr="00E35AFD" w:rsidRDefault="00E35AFD" w:rsidP="00E35AFD">
      <w:pPr>
        <w:pStyle w:val="FirstParagraph"/>
      </w:pPr>
      <w:r>
        <w:rPr>
          <w:b/>
          <w:bCs/>
        </w:rPr>
        <w:t>Pericolo vs Rischio</w:t>
      </w:r>
      <w:r>
        <w:t xml:space="preserve">: - </w:t>
      </w:r>
      <w:r>
        <w:rPr>
          <w:b/>
          <w:bCs/>
        </w:rPr>
        <w:t>Pericolo</w:t>
      </w:r>
      <w:r>
        <w:t xml:space="preserve"> = </w:t>
      </w:r>
      <w:r>
        <w:rPr>
          <w:highlight w:val="cyan"/>
        </w:rPr>
        <w:t>fonte potenziale di danno alla salute</w:t>
      </w:r>
      <w:r>
        <w:t xml:space="preserve">. - </w:t>
      </w:r>
      <w:r>
        <w:rPr>
          <w:b/>
          <w:bCs/>
        </w:rPr>
        <w:t>Rischio</w:t>
      </w:r>
      <w:r>
        <w:t xml:space="preserve"> = </w:t>
      </w:r>
      <w:r>
        <w:rPr>
          <w:highlight w:val="cyan"/>
        </w:rPr>
        <w:t>probabilità che l’evento pericoloso accada × gravità del danno</w:t>
      </w:r>
      <w:r>
        <w:t xml:space="preserve"> → R = P · D (P da 1 a 16, D da 1 a 4). - </w:t>
      </w:r>
      <w:r>
        <w:rPr>
          <w:highlight w:val="cyan"/>
        </w:rPr>
        <w:t>Rischio palese vs occulto: il palese è visibile senza aprire la macchina</w:t>
      </w:r>
      <w:r>
        <w:t>.</w:t>
      </w:r>
    </w:p>
    <w:p w14:paraId="27E10094" w14:textId="77777777" w:rsidR="00E35AFD" w:rsidRPr="00E35AFD" w:rsidRDefault="00E35AFD" w:rsidP="00E35AFD">
      <w:pPr>
        <w:pStyle w:val="Corpotesto"/>
      </w:pPr>
      <w:r>
        <w:rPr>
          <w:b/>
          <w:bCs/>
        </w:rPr>
        <w:t>Misure per ridurre il rischio</w:t>
      </w:r>
      <w:r>
        <w:t xml:space="preserve">: - </w:t>
      </w:r>
      <w:r>
        <w:rPr>
          <w:highlight w:val="cyan"/>
        </w:rPr>
        <w:t>Prevenzione → riduce la probabilità del rischio</w:t>
      </w:r>
      <w:r>
        <w:t xml:space="preserve">. - </w:t>
      </w:r>
      <w:r>
        <w:rPr>
          <w:highlight w:val="cyan"/>
        </w:rPr>
        <w:t>Protezione → riduce la gravità del danno</w:t>
      </w:r>
      <w:r>
        <w:t>, una volta che l’evento è accaduto (es. estintore). - Restano comunque i rischi residui, da riportare nel fascicolo tecnico.</w:t>
      </w:r>
    </w:p>
    <w:p w14:paraId="7DDFF0C0" w14:textId="77777777" w:rsidR="00E35AFD" w:rsidRPr="00E35AFD" w:rsidRDefault="00E35AFD" w:rsidP="00E35AFD">
      <w:pPr>
        <w:pStyle w:val="Corpotesto"/>
      </w:pPr>
      <w:r>
        <w:rPr>
          <w:b/>
          <w:bCs/>
        </w:rPr>
        <w:t>Documento di valutazione dei rischi</w:t>
      </w:r>
      <w:r>
        <w:t xml:space="preserve"> = </w:t>
      </w:r>
      <w:r>
        <w:rPr>
          <w:highlight w:val="cyan"/>
        </w:rPr>
        <w:t>raccoglie tutti i rischi identificati per la macchina</w:t>
      </w:r>
      <w:r>
        <w:t xml:space="preserve">, valutati in termini numerici secondo metodologie di stima; </w:t>
      </w:r>
      <w:r>
        <w:rPr>
          <w:highlight w:val="cyan"/>
        </w:rPr>
        <w:t>confluisce nel fascicolo tecnico</w:t>
      </w:r>
      <w:r>
        <w:t>. Riferimento: UNI EN ISO 12100.</w:t>
      </w:r>
    </w:p>
    <w:p w14:paraId="1323DE6E" w14:textId="77777777" w:rsidR="00E35AFD" w:rsidRPr="00E35AFD" w:rsidRDefault="00E35AFD" w:rsidP="00E35AFD">
      <w:pPr>
        <w:pStyle w:val="Corpotesto"/>
      </w:pPr>
      <w:r>
        <w:rPr>
          <w:b/>
          <w:bCs/>
        </w:rPr>
        <w:t>Principali pericoli</w:t>
      </w:r>
      <w:r>
        <w:t xml:space="preserve">: - </w:t>
      </w:r>
      <w:r>
        <w:rPr>
          <w:highlight w:val="cyan"/>
        </w:rPr>
        <w:t>Meccanici</w:t>
      </w:r>
      <w:r>
        <w:t xml:space="preserve">: schiacciamento, </w:t>
      </w:r>
      <w:proofErr w:type="spellStart"/>
      <w:r>
        <w:t>cesoiamento</w:t>
      </w:r>
      <w:proofErr w:type="spellEnd"/>
      <w:r>
        <w:t xml:space="preserve">, taglio, trascinamento, urto, puntura, abrasione, caduta materiali, perdita di stabilità, bordi taglienti. - </w:t>
      </w:r>
      <w:r>
        <w:rPr>
          <w:highlight w:val="cyan"/>
        </w:rPr>
        <w:t>Elettrici</w:t>
      </w:r>
      <w:r>
        <w:t xml:space="preserve">: contatti diretti (parti in tensione) o indiretti (parti metalliche per guasto); effetti: tetanizzazione, arresto respirazione, fibrillazione ventricolare, ustioni; protezioni: isolamento, barriere, messa a terra, interruzione automatica, sistemi a bassissima tensione (SELV/PELV). - </w:t>
      </w:r>
      <w:r>
        <w:rPr>
          <w:highlight w:val="cyan"/>
        </w:rPr>
        <w:t>Altri: guasti dell’alimentazione, rumore, vibrazioni, avviamento inatteso</w:t>
      </w:r>
      <w:r>
        <w:t xml:space="preserve"> (da impedire già in progettazione). - </w:t>
      </w:r>
      <w:r>
        <w:rPr>
          <w:highlight w:val="cyan"/>
        </w:rPr>
        <w:t>Nuovi rischi: cybersecurity e intelligenza artificiale</w:t>
      </w:r>
      <w:r>
        <w:t xml:space="preserve"> (macchine connesse vulnerabili ad accessi non autorizzati).</w:t>
      </w:r>
    </w:p>
    <w:bookmarkStart w:id="76" w:name="valutazione-del-rischio"/>
    <w:p w14:paraId="6218CBFE" w14:textId="77777777" w:rsidR="00E35AFD" w:rsidRPr="004720B0" w:rsidRDefault="00000000" w:rsidP="00E35AFD">
      <w:r>
        <w:pict w14:anchorId="0CCD1878">
          <v:rect id="Rettangolo 25" o:spid="_x0000_s1028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  <w:bookmarkEnd w:id="76"/>
    </w:p>
    <w:p w14:paraId="6C56CBA7" w14:textId="77777777" w:rsidR="00E35AFD" w:rsidRPr="004720B0" w:rsidRDefault="00E35AFD" w:rsidP="00E35AFD">
      <w:pPr>
        <w:pStyle w:val="Titolo2"/>
      </w:pPr>
      <w:bookmarkStart w:id="77" w:name="Xfdb6adf1afb0d76bd5e4a95ea6d1b693a30f513"/>
      <w:r>
        <w:t>Responsabilità da prodotto e sicurezza generale</w:t>
      </w:r>
    </w:p>
    <w:p w14:paraId="58CFB396" w14:textId="77777777" w:rsidR="00E35AFD" w:rsidRPr="00E35AFD" w:rsidRDefault="00E35AFD" w:rsidP="00E35AFD">
      <w:pPr>
        <w:pStyle w:val="FirstParagraph"/>
      </w:pPr>
      <w:r>
        <w:rPr>
          <w:b/>
          <w:bCs/>
        </w:rPr>
        <w:t>Responsabilità</w:t>
      </w:r>
      <w:r>
        <w:t xml:space="preserve">: - </w:t>
      </w:r>
      <w:r>
        <w:rPr>
          <w:b/>
          <w:bCs/>
        </w:rPr>
        <w:t>Penale</w:t>
      </w:r>
      <w:r>
        <w:t xml:space="preserve"> — </w:t>
      </w:r>
      <w:r>
        <w:rPr>
          <w:highlight w:val="cyan"/>
        </w:rPr>
        <w:t>violazione di norme che tutelano la collettività</w:t>
      </w:r>
      <w:r>
        <w:t xml:space="preserve"> → </w:t>
      </w:r>
      <w:r>
        <w:rPr>
          <w:highlight w:val="cyan"/>
        </w:rPr>
        <w:t>conseguenza: pena</w:t>
      </w:r>
      <w:r>
        <w:t xml:space="preserve">. - </w:t>
      </w:r>
      <w:r>
        <w:rPr>
          <w:b/>
          <w:bCs/>
        </w:rPr>
        <w:t>Civile</w:t>
      </w:r>
      <w:r>
        <w:t xml:space="preserve"> — </w:t>
      </w:r>
      <w:r>
        <w:rPr>
          <w:highlight w:val="cyan"/>
        </w:rPr>
        <w:t>violazione di norme che regolano rapporti tra privati</w:t>
      </w:r>
      <w:r>
        <w:t xml:space="preserve"> → </w:t>
      </w:r>
      <w:r>
        <w:rPr>
          <w:highlight w:val="cyan"/>
        </w:rPr>
        <w:t>conseguenza: risarcimento danni</w:t>
      </w:r>
      <w:r>
        <w:t>.</w:t>
      </w:r>
    </w:p>
    <w:p w14:paraId="33296D51" w14:textId="77777777" w:rsidR="00E35AFD" w:rsidRPr="00E35AFD" w:rsidRDefault="00E35AFD" w:rsidP="00E35AFD">
      <w:pPr>
        <w:pStyle w:val="Testodelblocco"/>
      </w:pPr>
      <w:r>
        <w:t>Il concetto di prodotto non comprende solo l’oggetto fisico, ma anche cataloghi, istruzioni, garanzie, ricambi, installazione, etichettatura, imballo, manutenzione → la documentazione tutela anche il fabbricante.</w:t>
      </w:r>
    </w:p>
    <w:p w14:paraId="57537E83" w14:textId="77777777" w:rsidR="00E35AFD" w:rsidRPr="00E35AFD" w:rsidRDefault="00E35AFD" w:rsidP="00E35AFD">
      <w:pPr>
        <w:pStyle w:val="FirstParagraph"/>
      </w:pPr>
      <w:r>
        <w:rPr>
          <w:b/>
          <w:bCs/>
        </w:rPr>
        <w:t>Prodotto sicuro</w:t>
      </w:r>
      <w:r>
        <w:t xml:space="preserve"> = </w:t>
      </w:r>
      <w:r>
        <w:rPr>
          <w:highlight w:val="cyan"/>
        </w:rPr>
        <w:t>in condizioni d’uso normali</w:t>
      </w:r>
      <w:r>
        <w:t xml:space="preserve"> o ragionevolmente prevedibili </w:t>
      </w:r>
      <w:r>
        <w:rPr>
          <w:highlight w:val="cyan"/>
        </w:rPr>
        <w:t>non presenta rischi</w:t>
      </w:r>
      <w:r>
        <w:t>, o solo rischi minimi accettabili. Altrimenti è pericoloso.</w:t>
      </w:r>
    </w:p>
    <w:p w14:paraId="3929495F" w14:textId="77777777" w:rsidR="00E35AFD" w:rsidRPr="00E35AFD" w:rsidRDefault="00E35AFD" w:rsidP="00E35AFD">
      <w:pPr>
        <w:pStyle w:val="Corpotesto"/>
      </w:pPr>
      <w:r>
        <w:rPr>
          <w:b/>
          <w:bCs/>
        </w:rPr>
        <w:t>Diritti dei consumatori</w:t>
      </w:r>
      <w:r>
        <w:t xml:space="preserve">: sicurezza, salute, risarcimento dei danni, rappresentanza, informazione. Riferimenti storici: USA — </w:t>
      </w:r>
      <w:proofErr w:type="spellStart"/>
      <w:r>
        <w:t>Consuming</w:t>
      </w:r>
      <w:proofErr w:type="spellEnd"/>
      <w:r>
        <w:t xml:space="preserve"> Act (1962) → solo sicurezza; Europa — Risoluzione CEE (1985) → sicurezza e salute.</w:t>
      </w:r>
    </w:p>
    <w:p w14:paraId="7FF09CEC" w14:textId="77777777" w:rsidR="00E35AFD" w:rsidRPr="00E35AFD" w:rsidRDefault="00E35AFD" w:rsidP="00E35AFD">
      <w:pPr>
        <w:pStyle w:val="Corpotesto"/>
      </w:pPr>
      <w:r>
        <w:rPr>
          <w:b/>
          <w:bCs/>
        </w:rPr>
        <w:t>Regolamento UE 2023/988</w:t>
      </w:r>
      <w:r>
        <w:t xml:space="preserve"> (sicurezza generale dei prodotti) — rafforza gli obblighi degli operatori: immettere solo prodotti sicuri, analisi dei rischi, documentazione tecnica, etichettatura e tracciabilità, canali per i consumatori, gestione reclami, azioni correttive.</w:t>
      </w:r>
    </w:p>
    <w:p w14:paraId="4CC0FAA7" w14:textId="77777777" w:rsidR="00E35AFD" w:rsidRPr="00E35AFD" w:rsidRDefault="00E35AFD" w:rsidP="00E35AFD">
      <w:pPr>
        <w:pStyle w:val="Corpotesto"/>
      </w:pPr>
      <w:r>
        <w:t xml:space="preserve">La sorveglianza del mercato. Se l’ASL si accorge che un prodotto non è conforme: 1. lo blocca e lo ritira dal mercato; 2. il fabbricante deve rintracciare i prodotti simili già venduti in Italia; 3. esiste un sistema di comunicazione tra le autorità competenti in Europa, il </w:t>
      </w:r>
      <w:proofErr w:type="spellStart"/>
      <w:r>
        <w:lastRenderedPageBreak/>
        <w:t>Safety</w:t>
      </w:r>
      <w:proofErr w:type="spellEnd"/>
      <w:r>
        <w:t xml:space="preserve"> Gate: per ora solo le autorità pubbliche possono inserire warning sulla non conformità di un prodotto.</w:t>
      </w:r>
    </w:p>
    <w:p w14:paraId="225CA852" w14:textId="77777777" w:rsidR="00E35AFD" w:rsidRPr="00E35AFD" w:rsidRDefault="00E35AFD" w:rsidP="00E35AFD">
      <w:pPr>
        <w:pStyle w:val="Corpotesto"/>
      </w:pPr>
      <w:r>
        <w:rPr>
          <w:b/>
          <w:bCs/>
        </w:rPr>
        <w:t>Obblighi di marcatura CE per le macchine</w:t>
      </w:r>
      <w:r>
        <w:t xml:space="preserve"> (casi): - </w:t>
      </w:r>
      <w:r>
        <w:rPr>
          <w:highlight w:val="cyan"/>
        </w:rPr>
        <w:t>Macchine autocostruite: obbligo CE se ho almeno un dipendente</w:t>
      </w:r>
      <w:r>
        <w:t xml:space="preserve"> (Decreto 81); no obbligo se non ho dipendenti. - Macchine per uso temporaneo in laboratori di ricerca/fiere: </w:t>
      </w:r>
      <w:proofErr w:type="gramStart"/>
      <w:r>
        <w:t>no</w:t>
      </w:r>
      <w:proofErr w:type="gramEnd"/>
      <w:r>
        <w:t xml:space="preserve"> obbligo CE. - </w:t>
      </w:r>
      <w:r>
        <w:rPr>
          <w:highlight w:val="cyan"/>
        </w:rPr>
        <w:t>Macchina, fabbricante extra-UE, utilizzatore UE: obbligo CE</w:t>
      </w:r>
      <w:r>
        <w:t xml:space="preserve">. - </w:t>
      </w:r>
      <w:r>
        <w:rPr>
          <w:highlight w:val="cyan"/>
        </w:rPr>
        <w:t>Macchina nuova</w:t>
      </w:r>
      <w:r>
        <w:t xml:space="preserve">, fabbricante UE, utilizzatore UE: </w:t>
      </w:r>
      <w:r>
        <w:rPr>
          <w:highlight w:val="cyan"/>
        </w:rPr>
        <w:t>obbligo CE</w:t>
      </w:r>
      <w:r>
        <w:t xml:space="preserve">. - Macchina (nuova/usata), fabbricante UE, utilizzatore extra-UE: </w:t>
      </w:r>
      <w:proofErr w:type="gramStart"/>
      <w:r>
        <w:t>no</w:t>
      </w:r>
      <w:proofErr w:type="gramEnd"/>
      <w:r>
        <w:t xml:space="preserve"> obbligo CE. - </w:t>
      </w:r>
      <w:r>
        <w:rPr>
          <w:highlight w:val="cyan"/>
        </w:rPr>
        <w:t>Macchina usata, fabbricante UE, utilizzatore UE: se costruita dopo la Direttiva Macchine</w:t>
      </w:r>
      <w:r>
        <w:t xml:space="preserve"> (1996) → </w:t>
      </w:r>
      <w:r>
        <w:rPr>
          <w:highlight w:val="cyan"/>
        </w:rPr>
        <w:t>obbligo CE</w:t>
      </w:r>
      <w:r>
        <w:t>; se costruita prima → dichiarazione di conformità alla legislazione vigente nell’anno di fabbricazione.</w:t>
      </w:r>
    </w:p>
    <w:p w14:paraId="57B2087C" w14:textId="77777777" w:rsidR="00E35AFD" w:rsidRDefault="00E35AFD" w:rsidP="00E35AFD">
      <w:pPr>
        <w:pStyle w:val="Corpotesto"/>
      </w:pPr>
      <w:r>
        <w:rPr>
          <w:b/>
          <w:bCs/>
        </w:rPr>
        <w:t>Decreto Legislativo 81/2008</w:t>
      </w:r>
      <w:r>
        <w:t xml:space="preserve"> (Testo Unico sulla Sicurezza sul Lavoro) = </w:t>
      </w:r>
      <w:r>
        <w:rPr>
          <w:highlight w:val="cyan"/>
        </w:rPr>
        <w:t>stabilisce gli obblighi del datore di lavoro verso i lavoratori per garantire salute e sicurezza sul lavoro</w:t>
      </w:r>
      <w:r>
        <w:t>.</w:t>
      </w:r>
      <w:bookmarkEnd w:id="64"/>
      <w:bookmarkEnd w:id="77"/>
    </w:p>
    <w:p w14:paraId="35C606E3" w14:textId="71DBF4EE" w:rsidR="00373FB0" w:rsidRPr="00E35AFD" w:rsidRDefault="00000000" w:rsidP="00E35AFD">
      <w:pPr>
        <w:pStyle w:val="Corpotesto"/>
      </w:pPr>
      <w:r>
        <w:pict w14:anchorId="50FF6BEB">
          <v:rect id="_x0000_s1027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</w:p>
    <w:p w14:paraId="28C2D074" w14:textId="77777777" w:rsidR="00373FB0" w:rsidRPr="002A6731" w:rsidRDefault="00373FB0" w:rsidP="00373FB0">
      <w:pPr>
        <w:pStyle w:val="Titolo1"/>
      </w:pPr>
      <w:bookmarkStart w:id="78" w:name="modulo-9-affidabilità"/>
      <w:r w:rsidRPr="002A6731">
        <w:t>Modulo 9 — Affidabilità</w:t>
      </w:r>
    </w:p>
    <w:p w14:paraId="54C3B0A1" w14:textId="77777777" w:rsidR="00373FB0" w:rsidRPr="002A6731" w:rsidRDefault="00000000" w:rsidP="00373FB0">
      <w:r>
        <w:pict w14:anchorId="32169E47">
          <v:rect id="_x0000_s1026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weight="0">
            <w10:anchorlock/>
          </v:rect>
        </w:pict>
      </w:r>
    </w:p>
    <w:p w14:paraId="725BFD0E" w14:textId="77777777" w:rsidR="00373FB0" w:rsidRPr="002A6731" w:rsidRDefault="00373FB0" w:rsidP="00373FB0">
      <w:pPr>
        <w:pStyle w:val="Titolo2"/>
      </w:pPr>
      <w:bookmarkStart w:id="79" w:name="fidatezza-e-le-sue-componenti"/>
      <w:r w:rsidRPr="002A6731">
        <w:t>Fidatezza e le sue componenti</w:t>
      </w:r>
    </w:p>
    <w:p w14:paraId="4E0809DB" w14:textId="77777777" w:rsidR="00373FB0" w:rsidRPr="002A6731" w:rsidRDefault="00373FB0" w:rsidP="00373FB0">
      <w:pPr>
        <w:pStyle w:val="FirstParagraph"/>
      </w:pPr>
      <w:r w:rsidRPr="00047906">
        <w:rPr>
          <w:highlight w:val="cyan"/>
        </w:rPr>
        <w:t>L’affidabilità studia il comportamento futuro degli oggetti. Il concetto generale che la contiene è la</w:t>
      </w:r>
      <w:r w:rsidRPr="002A6731">
        <w:t xml:space="preserve"> </w:t>
      </w:r>
      <w:r w:rsidRPr="006424B4">
        <w:rPr>
          <w:b/>
          <w:bCs/>
        </w:rPr>
        <w:t>fidatezza</w:t>
      </w:r>
      <w:r w:rsidRPr="002A6731">
        <w:t xml:space="preserve"> (</w:t>
      </w:r>
      <w:proofErr w:type="spellStart"/>
      <w:r w:rsidRPr="002A6731">
        <w:t>dependability</w:t>
      </w:r>
      <w:proofErr w:type="spellEnd"/>
      <w:r w:rsidRPr="002A6731">
        <w:t xml:space="preserve">) = </w:t>
      </w:r>
      <w:r w:rsidRPr="00047906">
        <w:rPr>
          <w:highlight w:val="cyan"/>
        </w:rPr>
        <w:t>insieme di tutte le caratteristiche di un prodotto dipendenti dal tempo</w:t>
      </w:r>
      <w:r w:rsidRPr="002A6731">
        <w:t>. La fidatezza si articola in tre componenti (più la sicurezza):</w:t>
      </w:r>
    </w:p>
    <w:p w14:paraId="256EF57F" w14:textId="77777777" w:rsidR="00373FB0" w:rsidRPr="002A6731" w:rsidRDefault="00373FB0" w:rsidP="00373FB0">
      <w:pPr>
        <w:pStyle w:val="Compact"/>
        <w:numPr>
          <w:ilvl w:val="0"/>
          <w:numId w:val="44"/>
        </w:numPr>
      </w:pPr>
      <w:r w:rsidRPr="006424B4">
        <w:rPr>
          <w:b/>
          <w:bCs/>
        </w:rPr>
        <w:t>Affidabilità</w:t>
      </w:r>
      <w:r w:rsidRPr="002A6731">
        <w:t xml:space="preserve"> (reliability) = </w:t>
      </w:r>
      <w:r w:rsidRPr="00047906">
        <w:rPr>
          <w:highlight w:val="cyan"/>
        </w:rPr>
        <w:t>capacità di funzionare senza guasti nel tempo</w:t>
      </w:r>
      <w:r w:rsidRPr="002A6731">
        <w:t>.</w:t>
      </w:r>
    </w:p>
    <w:p w14:paraId="2CCCC1EF" w14:textId="77777777" w:rsidR="00373FB0" w:rsidRPr="002A6731" w:rsidRDefault="00373FB0" w:rsidP="00373FB0">
      <w:pPr>
        <w:pStyle w:val="Compact"/>
        <w:numPr>
          <w:ilvl w:val="0"/>
          <w:numId w:val="44"/>
        </w:numPr>
      </w:pPr>
      <w:r w:rsidRPr="006424B4">
        <w:rPr>
          <w:b/>
          <w:bCs/>
        </w:rPr>
        <w:t>Manutenibilità</w:t>
      </w:r>
      <w:r w:rsidRPr="002A6731">
        <w:t xml:space="preserve"> (</w:t>
      </w:r>
      <w:proofErr w:type="spellStart"/>
      <w:r w:rsidRPr="002A6731">
        <w:t>maintainability</w:t>
      </w:r>
      <w:proofErr w:type="spellEnd"/>
      <w:r w:rsidRPr="002A6731">
        <w:t xml:space="preserve">) = </w:t>
      </w:r>
      <w:r w:rsidRPr="00047906">
        <w:rPr>
          <w:highlight w:val="cyan"/>
        </w:rPr>
        <w:t>probabilità che un prodotto guasto venga riparato e tempo necessario per farlo</w:t>
      </w:r>
      <w:r w:rsidRPr="002A6731">
        <w:t>; presuppone che l’oggetto sia riparabile.</w:t>
      </w:r>
    </w:p>
    <w:p w14:paraId="4638BB86" w14:textId="77777777" w:rsidR="00373FB0" w:rsidRPr="002A6731" w:rsidRDefault="00373FB0" w:rsidP="00373FB0">
      <w:pPr>
        <w:pStyle w:val="Compact"/>
        <w:numPr>
          <w:ilvl w:val="0"/>
          <w:numId w:val="44"/>
        </w:numPr>
      </w:pPr>
      <w:r w:rsidRPr="006424B4">
        <w:rPr>
          <w:b/>
          <w:bCs/>
        </w:rPr>
        <w:t>Disponibilità</w:t>
      </w:r>
      <w:r w:rsidRPr="002A6731">
        <w:t xml:space="preserve"> (</w:t>
      </w:r>
      <w:proofErr w:type="spellStart"/>
      <w:r w:rsidRPr="002A6731">
        <w:t>availability</w:t>
      </w:r>
      <w:proofErr w:type="spellEnd"/>
      <w:r w:rsidRPr="002A6731">
        <w:t xml:space="preserve">) = </w:t>
      </w:r>
      <w:r w:rsidRPr="00047906">
        <w:rPr>
          <w:highlight w:val="cyan"/>
        </w:rPr>
        <w:t>percentuale di vita utile in cui il prodotto è disponibile per l’uso, cioè non guasto né in manutenzione</w:t>
      </w:r>
      <w:r w:rsidRPr="002A6731">
        <w:t>.</w:t>
      </w:r>
    </w:p>
    <w:p w14:paraId="097EEB62" w14:textId="77777777" w:rsidR="00373FB0" w:rsidRPr="002A6731" w:rsidRDefault="00373FB0" w:rsidP="00373FB0">
      <w:pPr>
        <w:pStyle w:val="FirstParagraph"/>
      </w:pPr>
      <w:r w:rsidRPr="00047906">
        <w:rPr>
          <w:highlight w:val="cyan"/>
        </w:rPr>
        <w:t>Si aggiunge poi la</w:t>
      </w:r>
      <w:r w:rsidRPr="002A6731">
        <w:t xml:space="preserve"> </w:t>
      </w:r>
      <w:r w:rsidRPr="006424B4">
        <w:rPr>
          <w:b/>
          <w:bCs/>
        </w:rPr>
        <w:t>sicurezza</w:t>
      </w:r>
      <w:r w:rsidRPr="002A6731">
        <w:t xml:space="preserve">, </w:t>
      </w:r>
      <w:r w:rsidRPr="00047906">
        <w:rPr>
          <w:highlight w:val="cyan"/>
        </w:rPr>
        <w:t>cioè mantenimento del rischio di danno entro un dato livello</w:t>
      </w:r>
      <w:r w:rsidRPr="002A6731">
        <w:t>.</w:t>
      </w:r>
      <w:bookmarkEnd w:id="79"/>
    </w:p>
    <w:p w14:paraId="6518D110" w14:textId="77777777" w:rsidR="00373FB0" w:rsidRPr="002A6731" w:rsidRDefault="00373FB0" w:rsidP="00373FB0">
      <w:pPr>
        <w:pStyle w:val="Titolo2"/>
      </w:pPr>
      <w:bookmarkStart w:id="80" w:name="X90c2be377a6c85722cd85b03ba78298413dabc7"/>
      <w:r w:rsidRPr="002A6731">
        <w:t>Definizioni di affidabilità (qualitative e quantitativa)</w:t>
      </w:r>
    </w:p>
    <w:p w14:paraId="04193114" w14:textId="77777777" w:rsidR="00373FB0" w:rsidRPr="002A6731" w:rsidRDefault="00373FB0" w:rsidP="00373FB0">
      <w:pPr>
        <w:pStyle w:val="FirstParagraph"/>
      </w:pPr>
      <w:r w:rsidRPr="00047906">
        <w:rPr>
          <w:highlight w:val="cyan"/>
        </w:rPr>
        <w:t>L’affidabilità ha tre possibili definizioni</w:t>
      </w:r>
      <w:r w:rsidRPr="002A6731">
        <w:t>, due qualitative e una quantitativa:</w:t>
      </w:r>
    </w:p>
    <w:p w14:paraId="557C6CB5" w14:textId="77777777" w:rsidR="00373FB0" w:rsidRPr="002A6731" w:rsidRDefault="00373FB0" w:rsidP="00373FB0">
      <w:pPr>
        <w:pStyle w:val="Compact"/>
        <w:numPr>
          <w:ilvl w:val="0"/>
          <w:numId w:val="44"/>
        </w:numPr>
      </w:pPr>
      <w:r w:rsidRPr="006424B4">
        <w:rPr>
          <w:b/>
          <w:bCs/>
        </w:rPr>
        <w:t>Qualitativa</w:t>
      </w:r>
      <w:r w:rsidRPr="002A6731">
        <w:t xml:space="preserve"> </w:t>
      </w:r>
      <w:r w:rsidRPr="006424B4">
        <w:rPr>
          <w:b/>
          <w:bCs/>
        </w:rPr>
        <w:t>(1)</w:t>
      </w:r>
      <w:r w:rsidRPr="002A6731">
        <w:t xml:space="preserve"> = </w:t>
      </w:r>
      <w:r w:rsidRPr="00047906">
        <w:rPr>
          <w:highlight w:val="cyan"/>
        </w:rPr>
        <w:t>attitudine di un oggetto a svolgere la funzione richiesta in condizioni date e per un dato intervallo di tempo</w:t>
      </w:r>
      <w:r w:rsidRPr="002A6731">
        <w:t>.</w:t>
      </w:r>
    </w:p>
    <w:p w14:paraId="21634E8C" w14:textId="77777777" w:rsidR="00373FB0" w:rsidRPr="002A6731" w:rsidRDefault="00373FB0" w:rsidP="00373FB0">
      <w:pPr>
        <w:pStyle w:val="Compact"/>
        <w:numPr>
          <w:ilvl w:val="0"/>
          <w:numId w:val="44"/>
        </w:numPr>
      </w:pPr>
      <w:r w:rsidRPr="006424B4">
        <w:rPr>
          <w:b/>
          <w:bCs/>
        </w:rPr>
        <w:t>Qualitativa (2)</w:t>
      </w:r>
      <w:r w:rsidRPr="002A6731">
        <w:t xml:space="preserve"> = </w:t>
      </w:r>
      <w:r w:rsidRPr="00047906">
        <w:rPr>
          <w:highlight w:val="cyan"/>
        </w:rPr>
        <w:t>insieme delle tecniche e dei modelli matematici che vogliono prevedere e progettare il comportamento degli oggetti nel tempo</w:t>
      </w:r>
      <w:r w:rsidRPr="002A6731">
        <w:t>.</w:t>
      </w:r>
    </w:p>
    <w:p w14:paraId="79C90ED2" w14:textId="77777777" w:rsidR="00373FB0" w:rsidRPr="002A6731" w:rsidRDefault="00373FB0" w:rsidP="00373FB0">
      <w:pPr>
        <w:pStyle w:val="Compact"/>
        <w:numPr>
          <w:ilvl w:val="0"/>
          <w:numId w:val="44"/>
        </w:numPr>
      </w:pPr>
      <w:r w:rsidRPr="006424B4">
        <w:rPr>
          <w:b/>
          <w:bCs/>
        </w:rPr>
        <w:t>Quantitativa</w:t>
      </w:r>
      <w:r w:rsidRPr="002A6731">
        <w:t xml:space="preserve"> = </w:t>
      </w:r>
      <w:r w:rsidRPr="00047906">
        <w:rPr>
          <w:highlight w:val="cyan"/>
        </w:rPr>
        <w:t>probabilità che un oggetto svolga la funzione richiesta in condizioni date e per un dato intervallo di tempo</w:t>
      </w:r>
      <w:r w:rsidRPr="002A6731">
        <w:t>.</w:t>
      </w:r>
    </w:p>
    <w:p w14:paraId="314A96CF" w14:textId="77777777" w:rsidR="00373FB0" w:rsidRPr="002A6731" w:rsidRDefault="00373FB0" w:rsidP="00373FB0">
      <w:pPr>
        <w:pStyle w:val="FirstParagraph"/>
      </w:pPr>
      <w:r w:rsidRPr="00047906">
        <w:rPr>
          <w:highlight w:val="cyan"/>
        </w:rPr>
        <w:t>L’affidabilità è una funzione decrescente del tempo (da 1 a 0).</w:t>
      </w:r>
      <w:bookmarkEnd w:id="80"/>
    </w:p>
    <w:p w14:paraId="15885B3E" w14:textId="77777777" w:rsidR="00373FB0" w:rsidRPr="002A6731" w:rsidRDefault="00373FB0" w:rsidP="00373FB0">
      <w:pPr>
        <w:pStyle w:val="Titolo2"/>
      </w:pPr>
      <w:r w:rsidRPr="002A6731">
        <w:lastRenderedPageBreak/>
        <w:t>Teoria della probabilità e funzioni dell’affidabilità</w:t>
      </w:r>
    </w:p>
    <w:p w14:paraId="2B211D69" w14:textId="77777777" w:rsidR="00373FB0" w:rsidRPr="002A6731" w:rsidRDefault="00373FB0" w:rsidP="00373FB0">
      <w:pPr>
        <w:pStyle w:val="FirstParagraph"/>
      </w:pPr>
      <w:r w:rsidRPr="00FF6925">
        <w:t>Due richiami di base: due eventi A, B mutualmente esclusivi → P(A) ∩ P(B) = ∅; due eventi complementari → P(A) ∪ P(B) = 1</w:t>
      </w:r>
      <w:r w:rsidRPr="002A6731">
        <w:t>.</w:t>
      </w:r>
    </w:p>
    <w:p w14:paraId="30720E5A" w14:textId="77777777" w:rsidR="00373FB0" w:rsidRPr="002A6731" w:rsidRDefault="00373FB0" w:rsidP="00373FB0">
      <w:pPr>
        <w:pStyle w:val="Compact"/>
        <w:numPr>
          <w:ilvl w:val="0"/>
          <w:numId w:val="44"/>
        </w:numPr>
      </w:pPr>
      <w:r w:rsidRPr="006424B4">
        <w:rPr>
          <w:b/>
          <w:bCs/>
        </w:rPr>
        <w:t>Affidabilità</w:t>
      </w:r>
      <w:r w:rsidRPr="002A6731">
        <w:t xml:space="preserve">: </w:t>
      </w:r>
      <w:r w:rsidRPr="00047906">
        <w:rPr>
          <w:highlight w:val="cyan"/>
        </w:rPr>
        <w:t xml:space="preserve">R(t) = </w:t>
      </w:r>
      <w:proofErr w:type="gramStart"/>
      <w:r w:rsidRPr="00047906">
        <w:rPr>
          <w:highlight w:val="cyan"/>
        </w:rPr>
        <w:t>P(</w:t>
      </w:r>
      <w:proofErr w:type="gramEnd"/>
      <w:r w:rsidRPr="00047906">
        <w:rPr>
          <w:highlight w:val="cyan"/>
        </w:rPr>
        <w:t>τ &gt; t) = probabilità che un oggetto svolga la sua funzione nell’intervallo di tempo da 0 a t</w:t>
      </w:r>
      <w:r w:rsidRPr="002A6731">
        <w:t>.</w:t>
      </w:r>
    </w:p>
    <w:p w14:paraId="229D57EE" w14:textId="77777777" w:rsidR="00373FB0" w:rsidRPr="002A6731" w:rsidRDefault="00373FB0" w:rsidP="00373FB0">
      <w:pPr>
        <w:pStyle w:val="Compact"/>
        <w:numPr>
          <w:ilvl w:val="0"/>
          <w:numId w:val="44"/>
        </w:numPr>
      </w:pPr>
      <w:r w:rsidRPr="006424B4">
        <w:rPr>
          <w:b/>
          <w:bCs/>
        </w:rPr>
        <w:t>Probabilità di guasto</w:t>
      </w:r>
      <w:r w:rsidRPr="00047906">
        <w:rPr>
          <w:highlight w:val="cyan"/>
        </w:rPr>
        <w:t xml:space="preserve">: </w:t>
      </w:r>
      <w:proofErr w:type="spellStart"/>
      <w:r w:rsidRPr="00047906">
        <w:rPr>
          <w:highlight w:val="cyan"/>
        </w:rPr>
        <w:t>Pg</w:t>
      </w:r>
      <w:proofErr w:type="spellEnd"/>
      <w:r w:rsidRPr="00047906">
        <w:rPr>
          <w:highlight w:val="cyan"/>
        </w:rPr>
        <w:t xml:space="preserve">(t) = </w:t>
      </w:r>
      <w:proofErr w:type="gramStart"/>
      <w:r w:rsidRPr="00047906">
        <w:rPr>
          <w:highlight w:val="cyan"/>
        </w:rPr>
        <w:t>P(</w:t>
      </w:r>
      <w:proofErr w:type="gramEnd"/>
      <w:r w:rsidRPr="00047906">
        <w:rPr>
          <w:highlight w:val="cyan"/>
        </w:rPr>
        <w:t>τ ≤ t) = probabilità che un oggetto smetta di svolgere la sua funzione nello stesso intervallo</w:t>
      </w:r>
      <w:r w:rsidRPr="002A6731">
        <w:t>.</w:t>
      </w:r>
    </w:p>
    <w:p w14:paraId="09431902" w14:textId="77777777" w:rsidR="00373FB0" w:rsidRPr="002A6731" w:rsidRDefault="00373FB0" w:rsidP="00373FB0">
      <w:pPr>
        <w:pStyle w:val="FirstParagraph"/>
      </w:pPr>
      <w:r w:rsidRPr="00047906">
        <w:rPr>
          <w:highlight w:val="cyan"/>
        </w:rPr>
        <w:t xml:space="preserve">Affidabilità e probabilità di guasto sono eventi complementari, quindi R = 1 − </w:t>
      </w:r>
      <w:proofErr w:type="spellStart"/>
      <w:r w:rsidRPr="00047906">
        <w:rPr>
          <w:highlight w:val="cyan"/>
        </w:rPr>
        <w:t>Pg</w:t>
      </w:r>
      <w:proofErr w:type="spellEnd"/>
      <w:r w:rsidRPr="00047906">
        <w:rPr>
          <w:highlight w:val="cyan"/>
        </w:rPr>
        <w:t>.</w:t>
      </w:r>
    </w:p>
    <w:p w14:paraId="6E232981" w14:textId="77777777" w:rsidR="00373FB0" w:rsidRPr="00047906" w:rsidRDefault="00373FB0" w:rsidP="00373FB0">
      <w:pPr>
        <w:pStyle w:val="Corpotesto"/>
        <w:rPr>
          <w:highlight w:val="cyan"/>
        </w:rPr>
      </w:pPr>
      <w:r w:rsidRPr="006424B4">
        <w:rPr>
          <w:b/>
          <w:bCs/>
        </w:rPr>
        <w:t>Tasso di guasto</w:t>
      </w:r>
      <w:r w:rsidRPr="002A6731">
        <w:t xml:space="preserve"> = </w:t>
      </w:r>
      <w:r w:rsidRPr="00047906">
        <w:rPr>
          <w:highlight w:val="cyan"/>
        </w:rPr>
        <w:t>probabilità che si verifichi un guasto nell’intervallo da t₁ a t₂, dato che fino a t₁ non ci sono stati guasti:</w:t>
      </w:r>
    </w:p>
    <w:p w14:paraId="55FC3A84" w14:textId="77777777" w:rsidR="00373FB0" w:rsidRPr="002A6731" w:rsidRDefault="00373FB0" w:rsidP="00373FB0">
      <w:pPr>
        <w:pStyle w:val="Testodelblocco"/>
      </w:pPr>
      <w:r w:rsidRPr="00047906">
        <w:rPr>
          <w:highlight w:val="cyan"/>
        </w:rPr>
        <w:t>T.G. = [R(t₁) − R(t₂)] / [R(t₁) · (t₂ − t₁)]</w:t>
      </w:r>
    </w:p>
    <w:p w14:paraId="485DAF25" w14:textId="77777777" w:rsidR="00373FB0" w:rsidRPr="002A6731" w:rsidRDefault="00373FB0" w:rsidP="00373FB0">
      <w:pPr>
        <w:pStyle w:val="Titolo2"/>
      </w:pPr>
      <w:bookmarkStart w:id="81" w:name="X4bf6890ffd0bf415b478c99864a842dd8fc284f"/>
      <w:r w:rsidRPr="002A6731">
        <w:t xml:space="preserve">La curva </w:t>
      </w:r>
      <w:proofErr w:type="spellStart"/>
      <w:r w:rsidRPr="002A6731">
        <w:t>bathtub</w:t>
      </w:r>
      <w:proofErr w:type="spellEnd"/>
      <w:r w:rsidRPr="002A6731">
        <w:t xml:space="preserve"> (andamento del tasso di guasto)</w:t>
      </w:r>
    </w:p>
    <w:p w14:paraId="4D150C70" w14:textId="77777777" w:rsidR="00373FB0" w:rsidRPr="002A6731" w:rsidRDefault="00373FB0" w:rsidP="00373FB0">
      <w:pPr>
        <w:pStyle w:val="FirstParagraph"/>
      </w:pPr>
      <w:r w:rsidRPr="00047906">
        <w:rPr>
          <w:highlight w:val="cyan"/>
        </w:rPr>
        <w:t>L’affidabilità è sempre decrescente nel tempo</w:t>
      </w:r>
      <w:r w:rsidRPr="002A6731">
        <w:t xml:space="preserve">, mentre </w:t>
      </w:r>
      <w:r w:rsidRPr="00047906">
        <w:rPr>
          <w:highlight w:val="cyan"/>
        </w:rPr>
        <w:t>il tasso di guasto può essere decrescente, costante o crescente</w:t>
      </w:r>
      <w:r w:rsidRPr="002A6731">
        <w:t xml:space="preserve">. Rappresentandolo nel tempo </w:t>
      </w:r>
      <w:r w:rsidRPr="00047906">
        <w:rPr>
          <w:highlight w:val="cyan"/>
        </w:rPr>
        <w:t>si ottiene la curva</w:t>
      </w:r>
      <w:r w:rsidRPr="002A6731">
        <w:t xml:space="preserve"> “</w:t>
      </w:r>
      <w:proofErr w:type="spellStart"/>
      <w:r w:rsidRPr="006424B4">
        <w:rPr>
          <w:b/>
          <w:bCs/>
        </w:rPr>
        <w:t>bathtub</w:t>
      </w:r>
      <w:proofErr w:type="spellEnd"/>
      <w:r w:rsidRPr="002A6731">
        <w:t xml:space="preserve">” (a vasca da bagno), </w:t>
      </w:r>
      <w:r w:rsidRPr="00047906">
        <w:rPr>
          <w:highlight w:val="cyan"/>
        </w:rPr>
        <w:t>con tre fasi</w:t>
      </w:r>
      <w:r w:rsidRPr="002A6731">
        <w:t>:</w:t>
      </w:r>
    </w:p>
    <w:p w14:paraId="3B8AF10A" w14:textId="77777777" w:rsidR="00373FB0" w:rsidRPr="002A6731" w:rsidRDefault="00373FB0" w:rsidP="00373FB0">
      <w:pPr>
        <w:pStyle w:val="Compact"/>
        <w:numPr>
          <w:ilvl w:val="0"/>
          <w:numId w:val="44"/>
        </w:numPr>
      </w:pPr>
      <w:r w:rsidRPr="002A6731">
        <w:t xml:space="preserve">I — </w:t>
      </w:r>
      <w:r w:rsidRPr="006424B4">
        <w:rPr>
          <w:b/>
          <w:bCs/>
        </w:rPr>
        <w:t>Mortalità infantile</w:t>
      </w:r>
      <w:r w:rsidRPr="002A6731">
        <w:t xml:space="preserve"> (T.G. decrescente): </w:t>
      </w:r>
      <w:r w:rsidRPr="00047906">
        <w:rPr>
          <w:highlight w:val="cyan"/>
        </w:rPr>
        <w:t>elevato tasso di fallimento iniziale</w:t>
      </w:r>
      <w:r w:rsidRPr="002A6731">
        <w:t xml:space="preserve">, </w:t>
      </w:r>
      <w:r w:rsidRPr="00047906">
        <w:rPr>
          <w:highlight w:val="cyan"/>
        </w:rPr>
        <w:t>guasti subito dopo la distribuzione e il primo utilizzo</w:t>
      </w:r>
      <w:r w:rsidRPr="002A6731">
        <w:t xml:space="preserve"> → si applicano tecniche di setacciatura e rodaggio per eliminare i prodotti difettosi.</w:t>
      </w:r>
    </w:p>
    <w:p w14:paraId="5C4DE9FE" w14:textId="77777777" w:rsidR="00373FB0" w:rsidRPr="002A6731" w:rsidRDefault="00373FB0" w:rsidP="00373FB0">
      <w:pPr>
        <w:pStyle w:val="Compact"/>
        <w:numPr>
          <w:ilvl w:val="0"/>
          <w:numId w:val="44"/>
        </w:numPr>
      </w:pPr>
      <w:r w:rsidRPr="002A6731">
        <w:t xml:space="preserve">II — </w:t>
      </w:r>
      <w:r w:rsidRPr="006424B4">
        <w:rPr>
          <w:b/>
          <w:bCs/>
        </w:rPr>
        <w:t>Guasti “random</w:t>
      </w:r>
      <w:r w:rsidRPr="002A6731">
        <w:t xml:space="preserve">” (T.G. costante): </w:t>
      </w:r>
      <w:r w:rsidRPr="00FF6925">
        <w:rPr>
          <w:highlight w:val="cyan"/>
        </w:rPr>
        <w:t xml:space="preserve">prestazioni </w:t>
      </w:r>
      <w:r w:rsidRPr="00047906">
        <w:rPr>
          <w:highlight w:val="cyan"/>
        </w:rPr>
        <w:t>stabili, guasti casuali e non prevedibili</w:t>
      </w:r>
      <w:r w:rsidRPr="002A6731">
        <w:t xml:space="preserve"> → consente di calcolare il tempo medio tra i guasti, utile per pianificare i programmi di manutenzione.</w:t>
      </w:r>
    </w:p>
    <w:p w14:paraId="34169B8D" w14:textId="77777777" w:rsidR="00373FB0" w:rsidRPr="002A6731" w:rsidRDefault="00373FB0" w:rsidP="00373FB0">
      <w:pPr>
        <w:pStyle w:val="Compact"/>
        <w:numPr>
          <w:ilvl w:val="0"/>
          <w:numId w:val="44"/>
        </w:numPr>
      </w:pPr>
      <w:r w:rsidRPr="002A6731">
        <w:t xml:space="preserve">III — </w:t>
      </w:r>
      <w:r w:rsidRPr="006424B4">
        <w:rPr>
          <w:b/>
          <w:bCs/>
        </w:rPr>
        <w:t>Usura</w:t>
      </w:r>
      <w:r w:rsidRPr="002A6731">
        <w:t xml:space="preserve"> (T.G. crescente): </w:t>
      </w:r>
      <w:r w:rsidRPr="00FF6925">
        <w:rPr>
          <w:highlight w:val="cyan"/>
        </w:rPr>
        <w:t xml:space="preserve">guasti </w:t>
      </w:r>
      <w:r w:rsidRPr="00047906">
        <w:rPr>
          <w:highlight w:val="cyan"/>
        </w:rPr>
        <w:t>prevedibili, dovuti a processi di degrado fisico</w:t>
      </w:r>
      <w:r w:rsidRPr="002A6731">
        <w:t xml:space="preserve"> come corrosione, fatica, usura.</w:t>
      </w:r>
      <w:bookmarkEnd w:id="81"/>
    </w:p>
    <w:p w14:paraId="625A47BD" w14:textId="77777777" w:rsidR="00373FB0" w:rsidRPr="002A6731" w:rsidRDefault="00373FB0" w:rsidP="00373FB0">
      <w:pPr>
        <w:pStyle w:val="Titolo2"/>
      </w:pPr>
      <w:bookmarkStart w:id="82" w:name="parametri-temporali-mttf-mttr-mtbf-fit"/>
      <w:r w:rsidRPr="002A6731">
        <w:t>Parametri temporali: MTTF, MTTR, MTBF, FIT</w:t>
      </w:r>
    </w:p>
    <w:p w14:paraId="3C7EFD7E" w14:textId="77777777" w:rsidR="00373FB0" w:rsidRPr="002A6731" w:rsidRDefault="00373FB0" w:rsidP="00373FB0">
      <w:pPr>
        <w:pStyle w:val="FirstParagraph"/>
      </w:pPr>
      <w:r w:rsidRPr="002A6731">
        <w:t>Per valutare affidabilità e manutenibilità si usano alcuni tempi caratteristici:</w:t>
      </w:r>
    </w:p>
    <w:tbl>
      <w:tblPr>
        <w:tblStyle w:val="Table"/>
        <w:tblW w:w="5000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4787"/>
        <w:gridCol w:w="4789"/>
      </w:tblGrid>
      <w:tr w:rsidR="00373FB0" w:rsidRPr="002A6731" w14:paraId="3C5D2166" w14:textId="77777777" w:rsidTr="00780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79" w:type="dxa"/>
            <w:tcBorders>
              <w:bottom w:val="single" w:sz="6" w:space="0" w:color="000000"/>
            </w:tcBorders>
          </w:tcPr>
          <w:p w14:paraId="6ECFB0D3" w14:textId="77777777" w:rsidR="00373FB0" w:rsidRPr="006424B4" w:rsidRDefault="00373FB0" w:rsidP="00780E4B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 w:rsidRPr="006424B4">
              <w:rPr>
                <w:rFonts w:eastAsia="Cambria"/>
                <w:b/>
                <w:bCs/>
              </w:rPr>
              <w:t>Parametro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</w:tcPr>
          <w:p w14:paraId="30BF77A1" w14:textId="77777777" w:rsidR="00373FB0" w:rsidRPr="006424B4" w:rsidRDefault="00373FB0" w:rsidP="00780E4B">
            <w:pPr>
              <w:pStyle w:val="Compact"/>
              <w:rPr>
                <w:rFonts w:ascii="Cambria" w:eastAsia="Cambria" w:hAnsi="Cambria"/>
                <w:b/>
                <w:bCs/>
              </w:rPr>
            </w:pPr>
            <w:r w:rsidRPr="006424B4">
              <w:rPr>
                <w:rFonts w:eastAsia="Cambria"/>
                <w:b/>
                <w:bCs/>
              </w:rPr>
              <w:t>Significato</w:t>
            </w:r>
          </w:p>
        </w:tc>
      </w:tr>
      <w:tr w:rsidR="00373FB0" w:rsidRPr="002A6731" w14:paraId="4C99904E" w14:textId="77777777" w:rsidTr="00780E4B">
        <w:tc>
          <w:tcPr>
            <w:tcW w:w="4679" w:type="dxa"/>
          </w:tcPr>
          <w:p w14:paraId="5BD70B96" w14:textId="77777777" w:rsidR="00373FB0" w:rsidRPr="000B3CFC" w:rsidRDefault="00373FB0" w:rsidP="00780E4B">
            <w:pPr>
              <w:pStyle w:val="Compact"/>
              <w:rPr>
                <w:rFonts w:ascii="Cambria" w:eastAsia="Cambria" w:hAnsi="Cambria"/>
                <w:lang w:val="en-US"/>
              </w:rPr>
            </w:pPr>
            <w:r w:rsidRPr="000B3CFC">
              <w:rPr>
                <w:rFonts w:eastAsia="Cambria"/>
                <w:b/>
                <w:bCs/>
                <w:lang w:val="en-US"/>
              </w:rPr>
              <w:t>MTTF</w:t>
            </w:r>
            <w:r w:rsidRPr="000B3CFC">
              <w:rPr>
                <w:rFonts w:eastAsia="Cambria"/>
                <w:lang w:val="en-US"/>
              </w:rPr>
              <w:t xml:space="preserve"> (Mean Time </w:t>
            </w:r>
            <w:proofErr w:type="gramStart"/>
            <w:r w:rsidRPr="000B3CFC">
              <w:rPr>
                <w:rFonts w:eastAsia="Cambria"/>
                <w:lang w:val="en-US"/>
              </w:rPr>
              <w:t>To</w:t>
            </w:r>
            <w:proofErr w:type="gramEnd"/>
            <w:r w:rsidRPr="000B3CFC">
              <w:rPr>
                <w:rFonts w:eastAsia="Cambria"/>
                <w:lang w:val="en-US"/>
              </w:rPr>
              <w:t xml:space="preserve"> Failure)</w:t>
            </w:r>
          </w:p>
        </w:tc>
        <w:tc>
          <w:tcPr>
            <w:tcW w:w="4680" w:type="dxa"/>
          </w:tcPr>
          <w:p w14:paraId="63E468E9" w14:textId="77777777" w:rsidR="00373FB0" w:rsidRPr="002A6731" w:rsidRDefault="00373FB0" w:rsidP="00780E4B">
            <w:pPr>
              <w:pStyle w:val="Compact"/>
              <w:rPr>
                <w:rFonts w:ascii="Cambria" w:eastAsia="Cambria" w:hAnsi="Cambria"/>
              </w:rPr>
            </w:pPr>
            <w:r w:rsidRPr="00047906">
              <w:rPr>
                <w:rFonts w:eastAsia="Cambria"/>
                <w:highlight w:val="cyan"/>
              </w:rPr>
              <w:t>tempo medio al guasto, per beni NON riparabili</w:t>
            </w:r>
            <w:r w:rsidRPr="002A6731">
              <w:rPr>
                <w:rFonts w:eastAsia="Cambria"/>
              </w:rPr>
              <w:t>: tempo medio di funzionamento prima che si rompa</w:t>
            </w:r>
          </w:p>
        </w:tc>
      </w:tr>
      <w:tr w:rsidR="00373FB0" w:rsidRPr="002A6731" w14:paraId="0D55D45E" w14:textId="77777777" w:rsidTr="00780E4B">
        <w:tc>
          <w:tcPr>
            <w:tcW w:w="4679" w:type="dxa"/>
          </w:tcPr>
          <w:p w14:paraId="3A41DC20" w14:textId="77777777" w:rsidR="00373FB0" w:rsidRPr="000B3CFC" w:rsidRDefault="00373FB0" w:rsidP="00780E4B">
            <w:pPr>
              <w:pStyle w:val="Compact"/>
              <w:rPr>
                <w:rFonts w:ascii="Cambria" w:eastAsia="Cambria" w:hAnsi="Cambria"/>
                <w:lang w:val="en-US"/>
              </w:rPr>
            </w:pPr>
            <w:r w:rsidRPr="000B3CFC">
              <w:rPr>
                <w:rFonts w:eastAsia="Cambria"/>
                <w:b/>
                <w:bCs/>
                <w:lang w:val="en-US"/>
              </w:rPr>
              <w:t>MTTR</w:t>
            </w:r>
            <w:r w:rsidRPr="000B3CFC">
              <w:rPr>
                <w:rFonts w:eastAsia="Cambria"/>
                <w:lang w:val="en-US"/>
              </w:rPr>
              <w:t xml:space="preserve"> (Mean Time </w:t>
            </w:r>
            <w:proofErr w:type="gramStart"/>
            <w:r w:rsidRPr="000B3CFC">
              <w:rPr>
                <w:rFonts w:eastAsia="Cambria"/>
                <w:lang w:val="en-US"/>
              </w:rPr>
              <w:t>To</w:t>
            </w:r>
            <w:proofErr w:type="gramEnd"/>
            <w:r w:rsidRPr="000B3CFC">
              <w:rPr>
                <w:rFonts w:eastAsia="Cambria"/>
                <w:lang w:val="en-US"/>
              </w:rPr>
              <w:t xml:space="preserve"> Repair)</w:t>
            </w:r>
          </w:p>
        </w:tc>
        <w:tc>
          <w:tcPr>
            <w:tcW w:w="4680" w:type="dxa"/>
          </w:tcPr>
          <w:p w14:paraId="0BA67EA9" w14:textId="77777777" w:rsidR="00373FB0" w:rsidRPr="002A6731" w:rsidRDefault="00373FB0" w:rsidP="00780E4B">
            <w:pPr>
              <w:pStyle w:val="Compact"/>
              <w:rPr>
                <w:rFonts w:ascii="Cambria" w:eastAsia="Cambria" w:hAnsi="Cambria"/>
              </w:rPr>
            </w:pPr>
            <w:r w:rsidRPr="00047906">
              <w:rPr>
                <w:rFonts w:eastAsia="Cambria"/>
                <w:highlight w:val="cyan"/>
              </w:rPr>
              <w:t>tempo medio di riparazione</w:t>
            </w:r>
            <w:r w:rsidRPr="002A6731">
              <w:rPr>
                <w:rFonts w:eastAsia="Cambria"/>
              </w:rPr>
              <w:t>, per beni riparabili</w:t>
            </w:r>
          </w:p>
        </w:tc>
      </w:tr>
      <w:tr w:rsidR="00373FB0" w:rsidRPr="002A6731" w14:paraId="3A84C83C" w14:textId="77777777" w:rsidTr="00780E4B">
        <w:tc>
          <w:tcPr>
            <w:tcW w:w="4679" w:type="dxa"/>
          </w:tcPr>
          <w:p w14:paraId="30C0CBC1" w14:textId="77777777" w:rsidR="00373FB0" w:rsidRPr="000B3CFC" w:rsidRDefault="00373FB0" w:rsidP="00780E4B">
            <w:pPr>
              <w:pStyle w:val="Compact"/>
              <w:rPr>
                <w:rFonts w:ascii="Cambria" w:eastAsia="Cambria" w:hAnsi="Cambria"/>
                <w:lang w:val="en-US"/>
              </w:rPr>
            </w:pPr>
            <w:r w:rsidRPr="000B3CFC">
              <w:rPr>
                <w:rFonts w:eastAsia="Cambria"/>
                <w:b/>
                <w:bCs/>
                <w:lang w:val="en-US"/>
              </w:rPr>
              <w:t>MTBF</w:t>
            </w:r>
            <w:r w:rsidRPr="000B3CFC">
              <w:rPr>
                <w:rFonts w:eastAsia="Cambria"/>
                <w:lang w:val="en-US"/>
              </w:rPr>
              <w:t xml:space="preserve"> (Mean Time Between Failures)</w:t>
            </w:r>
          </w:p>
        </w:tc>
        <w:tc>
          <w:tcPr>
            <w:tcW w:w="4680" w:type="dxa"/>
          </w:tcPr>
          <w:p w14:paraId="6F556807" w14:textId="77777777" w:rsidR="00373FB0" w:rsidRPr="002A6731" w:rsidRDefault="00373FB0" w:rsidP="00780E4B">
            <w:pPr>
              <w:pStyle w:val="Compact"/>
              <w:rPr>
                <w:rFonts w:ascii="Cambria" w:eastAsia="Cambria" w:hAnsi="Cambria"/>
              </w:rPr>
            </w:pPr>
            <w:r w:rsidRPr="00047906">
              <w:rPr>
                <w:rFonts w:eastAsia="Cambria"/>
                <w:highlight w:val="cyan"/>
              </w:rPr>
              <w:t>tempo medio tra due guasti</w:t>
            </w:r>
            <w:r w:rsidRPr="002A6731">
              <w:rPr>
                <w:rFonts w:eastAsia="Cambria"/>
              </w:rPr>
              <w:t>, per beni riparabili</w:t>
            </w:r>
          </w:p>
        </w:tc>
      </w:tr>
      <w:tr w:rsidR="00373FB0" w:rsidRPr="002A6731" w14:paraId="679F4977" w14:textId="77777777" w:rsidTr="00780E4B">
        <w:tc>
          <w:tcPr>
            <w:tcW w:w="4679" w:type="dxa"/>
          </w:tcPr>
          <w:p w14:paraId="13026AA9" w14:textId="77777777" w:rsidR="00373FB0" w:rsidRPr="002A6731" w:rsidRDefault="00373FB0" w:rsidP="00780E4B">
            <w:pPr>
              <w:pStyle w:val="Compact"/>
              <w:rPr>
                <w:rFonts w:ascii="Cambria" w:eastAsia="Cambria" w:hAnsi="Cambria"/>
              </w:rPr>
            </w:pPr>
            <w:r w:rsidRPr="006424B4">
              <w:rPr>
                <w:rFonts w:eastAsia="Cambria"/>
                <w:b/>
                <w:bCs/>
              </w:rPr>
              <w:t>FIT</w:t>
            </w:r>
            <w:r w:rsidRPr="002A6731">
              <w:rPr>
                <w:rFonts w:eastAsia="Cambria"/>
              </w:rPr>
              <w:t xml:space="preserve"> (</w:t>
            </w:r>
            <w:proofErr w:type="spellStart"/>
            <w:r w:rsidRPr="002A6731">
              <w:rPr>
                <w:rFonts w:eastAsia="Cambria"/>
              </w:rPr>
              <w:t>Failure</w:t>
            </w:r>
            <w:proofErr w:type="spellEnd"/>
            <w:r w:rsidRPr="002A6731">
              <w:rPr>
                <w:rFonts w:eastAsia="Cambria"/>
              </w:rPr>
              <w:t xml:space="preserve"> In Time)</w:t>
            </w:r>
          </w:p>
        </w:tc>
        <w:tc>
          <w:tcPr>
            <w:tcW w:w="4680" w:type="dxa"/>
          </w:tcPr>
          <w:p w14:paraId="5EC28619" w14:textId="77777777" w:rsidR="00373FB0" w:rsidRPr="002A6731" w:rsidRDefault="00373FB0" w:rsidP="00780E4B">
            <w:pPr>
              <w:pStyle w:val="Compact"/>
              <w:rPr>
                <w:rFonts w:ascii="Cambria" w:eastAsia="Cambria" w:hAnsi="Cambria"/>
              </w:rPr>
            </w:pPr>
            <w:r w:rsidRPr="00047906">
              <w:rPr>
                <w:rFonts w:eastAsia="Cambria"/>
                <w:highlight w:val="cyan"/>
              </w:rPr>
              <w:t>usato in elettronica per confrontare componenti con tassi di guasto molto piccoli</w:t>
            </w:r>
          </w:p>
        </w:tc>
      </w:tr>
    </w:tbl>
    <w:p w14:paraId="64D25902" w14:textId="77777777" w:rsidR="00373FB0" w:rsidRPr="002A6731" w:rsidRDefault="00373FB0" w:rsidP="00373FB0">
      <w:pPr>
        <w:pStyle w:val="Corpotesto"/>
      </w:pPr>
      <w:r w:rsidRPr="00047906">
        <w:rPr>
          <w:highlight w:val="cyan"/>
        </w:rPr>
        <w:lastRenderedPageBreak/>
        <w:t>Anche manutenibilità e disponibilità hanno una definizione qualitativa</w:t>
      </w:r>
      <w:r w:rsidRPr="002A6731">
        <w:t xml:space="preserve"> (attitudine dell’oggetto a essere riparato / a essere disponibile in condizioni date) </w:t>
      </w:r>
      <w:r w:rsidRPr="00047906">
        <w:rPr>
          <w:highlight w:val="cyan"/>
        </w:rPr>
        <w:t>e una quantitativa</w:t>
      </w:r>
      <w:r w:rsidRPr="002A6731">
        <w:t xml:space="preserve"> (probabilità di essere riparato / percentuale di tempo in cui è disponibile), </w:t>
      </w:r>
      <w:r w:rsidRPr="00047906">
        <w:rPr>
          <w:highlight w:val="cyan"/>
        </w:rPr>
        <w:t>in entrambi i casi in condizioni date e con procedure e mezzi prescritti.</w:t>
      </w:r>
      <w:bookmarkEnd w:id="82"/>
    </w:p>
    <w:p w14:paraId="74AD8873" w14:textId="77777777" w:rsidR="00373FB0" w:rsidRPr="002A6731" w:rsidRDefault="00373FB0" w:rsidP="00373FB0">
      <w:pPr>
        <w:pStyle w:val="Titolo2"/>
      </w:pPr>
      <w:bookmarkStart w:id="83" w:name="sistemi-riparabili-e-non-riparabili"/>
      <w:r w:rsidRPr="002A6731">
        <w:t>Sistemi riparabili e non riparabili</w:t>
      </w:r>
    </w:p>
    <w:p w14:paraId="4058A51B" w14:textId="77777777" w:rsidR="00373FB0" w:rsidRPr="002A6731" w:rsidRDefault="00373FB0" w:rsidP="00373FB0">
      <w:pPr>
        <w:pStyle w:val="FirstParagraph"/>
      </w:pPr>
      <w:r w:rsidRPr="006424B4">
        <w:rPr>
          <w:b/>
          <w:bCs/>
        </w:rPr>
        <w:t>Distinzione fondamentale negli studi di affidabilità</w:t>
      </w:r>
      <w:r w:rsidRPr="002A6731">
        <w:t xml:space="preserve">: - </w:t>
      </w:r>
      <w:r w:rsidRPr="006424B4">
        <w:rPr>
          <w:b/>
          <w:bCs/>
        </w:rPr>
        <w:t>Non riparabili</w:t>
      </w:r>
      <w:r w:rsidRPr="002A6731">
        <w:t xml:space="preserve"> — </w:t>
      </w:r>
      <w:r w:rsidRPr="00047906">
        <w:rPr>
          <w:highlight w:val="cyan"/>
        </w:rPr>
        <w:t>il guasto coincide con la fine della vita utile</w:t>
      </w:r>
      <w:r w:rsidRPr="002A6731">
        <w:t xml:space="preserve">: interessa soprattutto il tempo fino al primo guasto (MTTF). - </w:t>
      </w:r>
      <w:r w:rsidRPr="006424B4">
        <w:rPr>
          <w:b/>
          <w:bCs/>
        </w:rPr>
        <w:t>Riparabili</w:t>
      </w:r>
      <w:r w:rsidRPr="002A6731">
        <w:t xml:space="preserve"> — </w:t>
      </w:r>
      <w:r w:rsidRPr="00047906">
        <w:rPr>
          <w:highlight w:val="cyan"/>
        </w:rPr>
        <w:t>dopo un guasto si interviene con una riparazione e si riporta il sistema in funzione</w:t>
      </w:r>
      <w:r w:rsidRPr="002A6731">
        <w:t>: diventano importanti i tempi di riparazione (MTTR), il tempo tra guasti (MTBF), l’organizzazione della manutenzione e la disponibilità.</w:t>
      </w:r>
      <w:bookmarkEnd w:id="83"/>
    </w:p>
    <w:p w14:paraId="23C2C411" w14:textId="77777777" w:rsidR="00373FB0" w:rsidRPr="002A6731" w:rsidRDefault="00373FB0" w:rsidP="00373FB0">
      <w:pPr>
        <w:pStyle w:val="Titolo2"/>
      </w:pPr>
      <w:bookmarkStart w:id="84" w:name="disponibilità-formula"/>
      <w:r w:rsidRPr="002A6731">
        <w:t>Disponibilità (formula)</w:t>
      </w:r>
    </w:p>
    <w:p w14:paraId="01E8900E" w14:textId="77777777" w:rsidR="00373FB0" w:rsidRPr="002A6731" w:rsidRDefault="00373FB0" w:rsidP="00373FB0">
      <w:pPr>
        <w:pStyle w:val="FirstParagraph"/>
      </w:pPr>
      <w:r w:rsidRPr="006424B4">
        <w:rPr>
          <w:b/>
          <w:bCs/>
        </w:rPr>
        <w:t>La disponibilità si calcola come</w:t>
      </w:r>
      <w:r w:rsidRPr="002A6731">
        <w:t>:</w:t>
      </w:r>
    </w:p>
    <w:p w14:paraId="51EB0E53" w14:textId="77777777" w:rsidR="00373FB0" w:rsidRPr="002A6731" w:rsidRDefault="00373FB0" w:rsidP="00373FB0">
      <w:pPr>
        <w:pStyle w:val="Testodelblocco"/>
      </w:pPr>
      <w:r w:rsidRPr="00047906">
        <w:rPr>
          <w:highlight w:val="cyan"/>
        </w:rPr>
        <w:t>A = MTBF / (MTBF + MTTR)</w:t>
      </w:r>
    </w:p>
    <w:p w14:paraId="41916A8F" w14:textId="77777777" w:rsidR="00373FB0" w:rsidRPr="002A6731" w:rsidRDefault="00373FB0" w:rsidP="00373FB0">
      <w:pPr>
        <w:pStyle w:val="FirstParagraph"/>
      </w:pPr>
      <w:r w:rsidRPr="00047906">
        <w:rPr>
          <w:highlight w:val="cyan"/>
        </w:rPr>
        <w:t>cioè il rapporto tra la vita utile</w:t>
      </w:r>
      <w:r w:rsidRPr="002A6731">
        <w:t xml:space="preserve"> (MTBF) </w:t>
      </w:r>
      <w:r w:rsidRPr="00047906">
        <w:rPr>
          <w:highlight w:val="cyan"/>
        </w:rPr>
        <w:t>e la vita complessiva</w:t>
      </w:r>
      <w:r w:rsidRPr="002A6731">
        <w:t xml:space="preserve"> (MTBF + MTTR) </w:t>
      </w:r>
      <w:r w:rsidRPr="00047906">
        <w:rPr>
          <w:highlight w:val="cyan"/>
        </w:rPr>
        <w:t>dell’oggetto.</w:t>
      </w:r>
      <w:r w:rsidRPr="002A6731">
        <w:t xml:space="preserve"> Equivale a (tempo totale − tempo di guasto) / tempo totale. Non dipende solo dall’affidabilità, ma anche dalla manutenzione e dal supporto logistico: un prodotto affidabile può essere poco disponibile se i tempi di riparazione sono lunghi o mancano ricambi.</w:t>
      </w:r>
      <w:bookmarkEnd w:id="84"/>
    </w:p>
    <w:p w14:paraId="02B1C9B8" w14:textId="77777777" w:rsidR="00373FB0" w:rsidRPr="002A6731" w:rsidRDefault="00373FB0" w:rsidP="00373FB0">
      <w:pPr>
        <w:pStyle w:val="Titolo2"/>
      </w:pPr>
      <w:bookmarkStart w:id="85" w:name="misurare-e-verificare-laffidabilità"/>
      <w:r w:rsidRPr="002A6731">
        <w:t>Misurare e verificare l’affidabilità</w:t>
      </w:r>
    </w:p>
    <w:p w14:paraId="79943C2E" w14:textId="77777777" w:rsidR="00373FB0" w:rsidRPr="002A6731" w:rsidRDefault="00373FB0" w:rsidP="00373FB0">
      <w:pPr>
        <w:pStyle w:val="FirstParagraph"/>
      </w:pPr>
      <w:r w:rsidRPr="006424B4">
        <w:rPr>
          <w:b/>
          <w:bCs/>
        </w:rPr>
        <w:t>Piani di campionamento</w:t>
      </w:r>
      <w:r w:rsidRPr="002A6731">
        <w:t xml:space="preserve"> = </w:t>
      </w:r>
      <w:r w:rsidRPr="00047906">
        <w:rPr>
          <w:highlight w:val="cyan"/>
        </w:rPr>
        <w:t>scelta delle grandezze caratteristiche, scelta di un campione della popolazione sotto indagine e scelta dei tipi di stress a cui sottoporlo</w:t>
      </w:r>
      <w:r w:rsidRPr="002A6731">
        <w:t>.</w:t>
      </w:r>
    </w:p>
    <w:p w14:paraId="46D5B496" w14:textId="77777777" w:rsidR="00373FB0" w:rsidRPr="002A6731" w:rsidRDefault="00373FB0" w:rsidP="00373FB0">
      <w:pPr>
        <w:pStyle w:val="Corpotesto"/>
      </w:pPr>
      <w:r w:rsidRPr="006424B4">
        <w:rPr>
          <w:b/>
          <w:bCs/>
        </w:rPr>
        <w:t>Prove di affidabilità</w:t>
      </w:r>
      <w:r w:rsidRPr="002A6731">
        <w:t xml:space="preserve"> = </w:t>
      </w:r>
      <w:r w:rsidRPr="00047906">
        <w:rPr>
          <w:highlight w:val="cyan"/>
        </w:rPr>
        <w:t>servono a verificare l’affidabilità di un componente (parte di un apparato/sistema).</w:t>
      </w:r>
      <w:r w:rsidRPr="002A6731">
        <w:t xml:space="preserve"> In produzione se ne usano due:</w:t>
      </w:r>
    </w:p>
    <w:p w14:paraId="0F7DC36D" w14:textId="77777777" w:rsidR="00373FB0" w:rsidRPr="002A6731" w:rsidRDefault="00373FB0" w:rsidP="00373FB0">
      <w:pPr>
        <w:pStyle w:val="Compact"/>
        <w:numPr>
          <w:ilvl w:val="0"/>
          <w:numId w:val="44"/>
        </w:numPr>
      </w:pPr>
      <w:r w:rsidRPr="006424B4">
        <w:rPr>
          <w:b/>
          <w:bCs/>
        </w:rPr>
        <w:t>Setacciatura / Screening</w:t>
      </w:r>
      <w:r w:rsidRPr="002A6731">
        <w:t xml:space="preserve"> = </w:t>
      </w:r>
      <w:r w:rsidRPr="00047906">
        <w:rPr>
          <w:highlight w:val="cyan"/>
        </w:rPr>
        <w:t>sottoporre il 100% della popolazione a sollecitazioni molto inferiori ai limiti di resistenza; obiettivo: scartare i componenti con guasti precoci</w:t>
      </w:r>
      <w:r w:rsidRPr="002A6731">
        <w:t>. Non riesce a evidenziare i meccanismi di guasto e non deve danneggiare i componenti buoni.</w:t>
      </w:r>
    </w:p>
    <w:p w14:paraId="66BED369" w14:textId="77777777" w:rsidR="00373FB0" w:rsidRPr="002A6731" w:rsidRDefault="00373FB0" w:rsidP="00373FB0">
      <w:pPr>
        <w:pStyle w:val="Compact"/>
        <w:numPr>
          <w:ilvl w:val="0"/>
          <w:numId w:val="44"/>
        </w:numPr>
      </w:pPr>
      <w:r w:rsidRPr="006424B4">
        <w:rPr>
          <w:b/>
          <w:bCs/>
        </w:rPr>
        <w:t>Rodaggio / Burn-in</w:t>
      </w:r>
      <w:r w:rsidRPr="002A6731">
        <w:t xml:space="preserve"> = </w:t>
      </w:r>
      <w:r w:rsidRPr="00047906">
        <w:rPr>
          <w:highlight w:val="cyan"/>
        </w:rPr>
        <w:t>sottoporre solo il campione a condizioni di funzionamento sotto osservazione; obiettivo: evidenziare i meccanismi dei guasti precoci</w:t>
      </w:r>
      <w:r w:rsidRPr="002A6731">
        <w:t>.</w:t>
      </w:r>
    </w:p>
    <w:p w14:paraId="41C1406E" w14:textId="77777777" w:rsidR="00373FB0" w:rsidRPr="002A6731" w:rsidRDefault="00373FB0" w:rsidP="00373FB0">
      <w:pPr>
        <w:pStyle w:val="FirstParagraph"/>
      </w:pPr>
      <w:r w:rsidRPr="002A6731">
        <w:t>Entrambe le prove riducono la mortalità infantile.</w:t>
      </w:r>
      <w:bookmarkEnd w:id="85"/>
    </w:p>
    <w:p w14:paraId="2DD19B45" w14:textId="77777777" w:rsidR="00373FB0" w:rsidRPr="002A6731" w:rsidRDefault="00373FB0" w:rsidP="00373FB0">
      <w:pPr>
        <w:pStyle w:val="Titolo2"/>
      </w:pPr>
      <w:bookmarkStart w:id="86" w:name="X368326882ceb8c7b7ccb19a989555a341b2b55b"/>
      <w:r w:rsidRPr="002A6731">
        <w:t>Fisica dei meccanismi di guasto (</w:t>
      </w:r>
      <w:proofErr w:type="spellStart"/>
      <w:r w:rsidRPr="002A6731">
        <w:t>Failure</w:t>
      </w:r>
      <w:proofErr w:type="spellEnd"/>
      <w:r w:rsidRPr="002A6731">
        <w:t xml:space="preserve"> Analysis)</w:t>
      </w:r>
    </w:p>
    <w:p w14:paraId="5D3E81B4" w14:textId="77777777" w:rsidR="00373FB0" w:rsidRPr="002A6731" w:rsidRDefault="00373FB0" w:rsidP="00373FB0">
      <w:pPr>
        <w:pStyle w:val="FirstParagraph"/>
      </w:pPr>
      <w:r w:rsidRPr="00047906">
        <w:rPr>
          <w:highlight w:val="cyan"/>
        </w:rPr>
        <w:t>In progettazione si studiano i modi e i meccanismi di guasto, le loro cause e la pericolosità, per adottare azioni preventive</w:t>
      </w:r>
      <w:r w:rsidRPr="002A6731">
        <w:t xml:space="preserve">. Post </w:t>
      </w:r>
      <w:proofErr w:type="spellStart"/>
      <w:r w:rsidRPr="002A6731">
        <w:t>mortem</w:t>
      </w:r>
      <w:proofErr w:type="spellEnd"/>
      <w:r w:rsidRPr="002A6731">
        <w:t xml:space="preserve"> si identificano i modi e i meccanismi di guasto già avvenuti, per adottare azioni correttive e verificarne l’efficacia.</w:t>
      </w:r>
    </w:p>
    <w:p w14:paraId="4202B5D9" w14:textId="77777777" w:rsidR="00373FB0" w:rsidRPr="002A6731" w:rsidRDefault="00373FB0" w:rsidP="00373FB0">
      <w:pPr>
        <w:pStyle w:val="Corpotesto"/>
      </w:pPr>
      <w:r w:rsidRPr="006424B4">
        <w:rPr>
          <w:b/>
          <w:bCs/>
        </w:rPr>
        <w:lastRenderedPageBreak/>
        <w:t>Modi di guasto</w:t>
      </w:r>
      <w:r w:rsidRPr="002A6731">
        <w:t xml:space="preserve">: </w:t>
      </w:r>
      <w:r w:rsidRPr="00047906">
        <w:rPr>
          <w:highlight w:val="cyan"/>
        </w:rPr>
        <w:t>completo/parziale, progressivo/improvviso, indipendente/dipendente</w:t>
      </w:r>
      <w:r w:rsidRPr="002A6731">
        <w:t xml:space="preserve"> (può causare o meno altri guasti). </w:t>
      </w:r>
      <w:r w:rsidRPr="00047906">
        <w:rPr>
          <w:highlight w:val="cyan"/>
        </w:rPr>
        <w:t>Il modo di guasto descrive come il guasto si manifesta esternamente, non necessariamente la causa</w:t>
      </w:r>
      <w:r w:rsidRPr="002A6731">
        <w:t>.</w:t>
      </w:r>
    </w:p>
    <w:p w14:paraId="7D072F67" w14:textId="77777777" w:rsidR="00373FB0" w:rsidRPr="002A6731" w:rsidRDefault="00373FB0" w:rsidP="00373FB0">
      <w:pPr>
        <w:pStyle w:val="Corpotesto"/>
      </w:pPr>
      <w:r w:rsidRPr="00047906">
        <w:rPr>
          <w:highlight w:val="cyan"/>
        </w:rPr>
        <w:t>Il guasto può essere estrinseco</w:t>
      </w:r>
      <w:r w:rsidRPr="002A6731">
        <w:t xml:space="preserve"> (dovuto all’applicazione) </w:t>
      </w:r>
      <w:r w:rsidRPr="00047906">
        <w:rPr>
          <w:highlight w:val="cyan"/>
        </w:rPr>
        <w:t>o intrinseco</w:t>
      </w:r>
      <w:r w:rsidRPr="002A6731">
        <w:t xml:space="preserve"> (dovuto a un difetto del componente).</w:t>
      </w:r>
      <w:bookmarkEnd w:id="86"/>
    </w:p>
    <w:p w14:paraId="17B28000" w14:textId="77777777" w:rsidR="00373FB0" w:rsidRPr="002A6731" w:rsidRDefault="00373FB0" w:rsidP="00373FB0">
      <w:pPr>
        <w:pStyle w:val="Titolo2"/>
      </w:pPr>
      <w:bookmarkStart w:id="87" w:name="prova-accelerata"/>
      <w:r w:rsidRPr="002A6731">
        <w:t>Prova accelerata</w:t>
      </w:r>
    </w:p>
    <w:p w14:paraId="35E543F6" w14:textId="77777777" w:rsidR="00373FB0" w:rsidRPr="002A6731" w:rsidRDefault="00373FB0" w:rsidP="00373FB0">
      <w:pPr>
        <w:pStyle w:val="FirstParagraph"/>
      </w:pPr>
      <w:r w:rsidRPr="00047906">
        <w:rPr>
          <w:highlight w:val="cyan"/>
        </w:rPr>
        <w:t>La prova accelerata consiste nel sottoporre un componente o sistema a condizioni di stress maggiori rispetto alle normali condizioni di funzionamento, per ridurre il tempo necessario a osservare la risposta dell’oggetto alle sollecitazioni</w:t>
      </w:r>
      <w:r w:rsidRPr="002A6731">
        <w:t>. Ipotesi fondamentale: il meccanismo di guasto è lo stesso in condizioni nominali e in condizioni di elevata sollecitazione.</w:t>
      </w:r>
    </w:p>
    <w:p w14:paraId="376D048B" w14:textId="77777777" w:rsidR="00373FB0" w:rsidRPr="002A6731" w:rsidRDefault="00373FB0" w:rsidP="00373FB0">
      <w:pPr>
        <w:pStyle w:val="Corpotesto"/>
      </w:pPr>
      <w:r w:rsidRPr="00047906">
        <w:rPr>
          <w:highlight w:val="cyan"/>
        </w:rPr>
        <w:t>Su un sistema il limite è posto dalla durata del componente più debole. La prova richiede tre scelte:</w:t>
      </w:r>
    </w:p>
    <w:p w14:paraId="6C54099B" w14:textId="77777777" w:rsidR="00373FB0" w:rsidRPr="002A6731" w:rsidRDefault="00373FB0" w:rsidP="00373FB0">
      <w:pPr>
        <w:pStyle w:val="Compact"/>
        <w:numPr>
          <w:ilvl w:val="0"/>
          <w:numId w:val="44"/>
        </w:numPr>
      </w:pPr>
      <w:r w:rsidRPr="006424B4">
        <w:rPr>
          <w:b/>
          <w:bCs/>
        </w:rPr>
        <w:t>Fattori di stress</w:t>
      </w:r>
      <w:r w:rsidRPr="002A6731">
        <w:t xml:space="preserve"> (ambientali, elettrici, meccanici</w:t>
      </w:r>
      <w:r w:rsidRPr="00FF6925">
        <w:t>):</w:t>
      </w:r>
      <w:r w:rsidRPr="00047906">
        <w:rPr>
          <w:highlight w:val="cyan"/>
        </w:rPr>
        <w:t xml:space="preserve"> scelti in base all’esperienza dell’operatore e alla conoscenza dei meccanismi di guasto</w:t>
      </w:r>
      <w:r w:rsidRPr="002A6731">
        <w:t xml:space="preserve">. </w:t>
      </w:r>
      <w:r w:rsidRPr="002A6731">
        <w:rPr>
          <w:i/>
          <w:iCs/>
        </w:rPr>
        <w:t>(Un fattore di stress può accelerare più meccanismi di guasto e un meccanismo può essere accelerato da più fattori: per questo serve esperienza.)</w:t>
      </w:r>
    </w:p>
    <w:p w14:paraId="6F017997" w14:textId="77777777" w:rsidR="00373FB0" w:rsidRPr="002A6731" w:rsidRDefault="00373FB0" w:rsidP="00373FB0">
      <w:pPr>
        <w:pStyle w:val="Compact"/>
        <w:numPr>
          <w:ilvl w:val="0"/>
          <w:numId w:val="44"/>
        </w:numPr>
      </w:pPr>
      <w:r w:rsidRPr="006424B4">
        <w:rPr>
          <w:b/>
          <w:bCs/>
        </w:rPr>
        <w:t>Modello di accelerazione</w:t>
      </w:r>
      <w:r w:rsidRPr="002A6731">
        <w:t xml:space="preserve"> </w:t>
      </w:r>
      <w:r w:rsidRPr="00FF6925">
        <w:t>=</w:t>
      </w:r>
      <w:r w:rsidRPr="00047906">
        <w:rPr>
          <w:highlight w:val="cyan"/>
        </w:rPr>
        <w:t xml:space="preserve"> come applicare lo stress: osservare la reazione a un aumento graduale rende più facile identificare il punto di cedimento</w:t>
      </w:r>
      <w:r w:rsidRPr="002A6731">
        <w:t>.</w:t>
      </w:r>
    </w:p>
    <w:p w14:paraId="26A2807B" w14:textId="77777777" w:rsidR="00373FB0" w:rsidRPr="00047906" w:rsidRDefault="00373FB0" w:rsidP="00373FB0">
      <w:pPr>
        <w:pStyle w:val="Compact"/>
        <w:numPr>
          <w:ilvl w:val="0"/>
          <w:numId w:val="44"/>
        </w:numPr>
      </w:pPr>
      <w:r w:rsidRPr="006424B4">
        <w:rPr>
          <w:b/>
          <w:bCs/>
        </w:rPr>
        <w:t>Criterio di guasto</w:t>
      </w:r>
      <w:r w:rsidRPr="002A6731">
        <w:t xml:space="preserve"> = </w:t>
      </w:r>
      <w:r w:rsidRPr="00047906">
        <w:rPr>
          <w:highlight w:val="cyan"/>
        </w:rPr>
        <w:t>si sceglie un parametro significativo</w:t>
      </w:r>
      <w:r w:rsidRPr="002A6731">
        <w:t xml:space="preserve"> (indicatore d’affidabilità</w:t>
      </w:r>
      <w:r w:rsidRPr="00047906">
        <w:t xml:space="preserve">) </w:t>
      </w:r>
      <w:r w:rsidRPr="00047906">
        <w:rPr>
          <w:highlight w:val="cyan"/>
        </w:rPr>
        <w:t>e si definisce che il componente è guasto quando il parametro supera valori prestabiliti</w:t>
      </w:r>
      <w:bookmarkEnd w:id="87"/>
      <w:r w:rsidRPr="00047906">
        <w:t>.</w:t>
      </w:r>
    </w:p>
    <w:p w14:paraId="4327B471" w14:textId="77777777" w:rsidR="00373FB0" w:rsidRPr="006424B4" w:rsidRDefault="00373FB0" w:rsidP="00373FB0">
      <w:pPr>
        <w:pStyle w:val="Titolo2"/>
      </w:pPr>
      <w:r w:rsidRPr="006424B4">
        <w:t>Configurazioni di sistema: serie, parallelo, ridondante</w:t>
      </w:r>
    </w:p>
    <w:p w14:paraId="65423102" w14:textId="77777777" w:rsidR="00373FB0" w:rsidRPr="002A6731" w:rsidRDefault="00373FB0" w:rsidP="00373FB0">
      <w:pPr>
        <w:pStyle w:val="Compact"/>
        <w:numPr>
          <w:ilvl w:val="0"/>
          <w:numId w:val="44"/>
        </w:numPr>
      </w:pPr>
      <w:r w:rsidRPr="006424B4">
        <w:rPr>
          <w:b/>
          <w:bCs/>
        </w:rPr>
        <w:t>In serie</w:t>
      </w:r>
      <w:r w:rsidRPr="002A6731">
        <w:t xml:space="preserve">: </w:t>
      </w:r>
      <w:r w:rsidRPr="00047906">
        <w:rPr>
          <w:highlight w:val="cyan"/>
        </w:rPr>
        <w:t>il guasto di un solo componente determina il guasto dell’intero sistema</w:t>
      </w:r>
      <w:r w:rsidRPr="002A6731">
        <w:t>.</w:t>
      </w:r>
    </w:p>
    <w:p w14:paraId="375F1163" w14:textId="77777777" w:rsidR="00373FB0" w:rsidRPr="002A6731" w:rsidRDefault="00373FB0" w:rsidP="00373FB0">
      <w:pPr>
        <w:pStyle w:val="Compact"/>
        <w:numPr>
          <w:ilvl w:val="0"/>
          <w:numId w:val="44"/>
        </w:numPr>
      </w:pPr>
      <w:r w:rsidRPr="006424B4">
        <w:rPr>
          <w:b/>
          <w:bCs/>
        </w:rPr>
        <w:t>In parallelo</w:t>
      </w:r>
      <w:r w:rsidRPr="002A6731">
        <w:t xml:space="preserve">: </w:t>
      </w:r>
      <w:r w:rsidRPr="00047906">
        <w:rPr>
          <w:highlight w:val="cyan"/>
        </w:rPr>
        <w:t>alcuni componenti possono guastarsi senza incidere sul funzionamento del sistema</w:t>
      </w:r>
      <w:r w:rsidRPr="002A6731">
        <w:t xml:space="preserve"> → si parla di sistema ridondante, in cui due o più componenti possono svolgere la stessa funzione.</w:t>
      </w:r>
    </w:p>
    <w:p w14:paraId="552ADFE0" w14:textId="77777777" w:rsidR="00373FB0" w:rsidRPr="002A6731" w:rsidRDefault="00373FB0" w:rsidP="00373FB0">
      <w:pPr>
        <w:pStyle w:val="FirstParagraph"/>
      </w:pPr>
      <w:bookmarkStart w:id="88" w:name="X3a543a5f3ac912c7d2c4897149dfd77d36dc5a5"/>
      <w:r w:rsidRPr="002A6731">
        <w:rPr>
          <w:i/>
          <w:iCs/>
        </w:rPr>
        <w:t xml:space="preserve">(Nei sistemi complessi si usano schemi a blocchi </w:t>
      </w:r>
      <w:proofErr w:type="spellStart"/>
      <w:r w:rsidRPr="002A6731">
        <w:rPr>
          <w:i/>
          <w:iCs/>
        </w:rPr>
        <w:t>affidabilistici</w:t>
      </w:r>
      <w:proofErr w:type="spellEnd"/>
      <w:r w:rsidRPr="002A6731">
        <w:rPr>
          <w:i/>
          <w:iCs/>
        </w:rPr>
        <w:t>, che rappresentano come i componenti contribuiscono al funzionamento complessivo.)</w:t>
      </w:r>
      <w:bookmarkEnd w:id="88"/>
    </w:p>
    <w:p w14:paraId="68DB7734" w14:textId="77777777" w:rsidR="00373FB0" w:rsidRPr="006424B4" w:rsidRDefault="00373FB0" w:rsidP="00373FB0">
      <w:pPr>
        <w:pStyle w:val="Titolo2"/>
      </w:pPr>
      <w:bookmarkStart w:id="89" w:name="X74f60e8810b4c00feb83e8742382fe9ee8507e6"/>
      <w:r w:rsidRPr="006424B4">
        <w:t>Strumenti per costruire l’affidabilità: QFD, FTA, FMEA/FMECA</w:t>
      </w:r>
    </w:p>
    <w:p w14:paraId="4678F622" w14:textId="77777777" w:rsidR="00373FB0" w:rsidRPr="002A6731" w:rsidRDefault="00373FB0" w:rsidP="00373FB0">
      <w:pPr>
        <w:pStyle w:val="FirstParagraph"/>
      </w:pPr>
      <w:r w:rsidRPr="00047906">
        <w:rPr>
          <w:highlight w:val="cyan"/>
        </w:rPr>
        <w:t>L’affidabilità va costruita soprattutto in progettazione</w:t>
      </w:r>
      <w:r w:rsidRPr="002A6731">
        <w:t>. Gli strumenti principali:</w:t>
      </w:r>
    </w:p>
    <w:p w14:paraId="298753F0" w14:textId="77777777" w:rsidR="00373FB0" w:rsidRDefault="00373FB0" w:rsidP="00373FB0">
      <w:pPr>
        <w:pStyle w:val="Compact"/>
        <w:numPr>
          <w:ilvl w:val="0"/>
          <w:numId w:val="44"/>
        </w:numPr>
      </w:pPr>
      <w:r w:rsidRPr="006424B4">
        <w:rPr>
          <w:b/>
          <w:bCs/>
        </w:rPr>
        <w:t>QFD</w:t>
      </w:r>
      <w:r w:rsidRPr="002A6731">
        <w:t xml:space="preserve"> (Quality </w:t>
      </w:r>
      <w:proofErr w:type="spellStart"/>
      <w:r w:rsidRPr="002A6731">
        <w:t>Function</w:t>
      </w:r>
      <w:proofErr w:type="spellEnd"/>
      <w:r w:rsidRPr="002A6731">
        <w:t xml:space="preserve"> Deployment, Dispiegamento Funzioni di Qualità) = </w:t>
      </w:r>
      <w:r w:rsidRPr="00047906">
        <w:rPr>
          <w:highlight w:val="cyan"/>
        </w:rPr>
        <w:t>tecnica per identificare i requisiti del cliente e tradurli nelle specifiche del prodotto</w:t>
      </w:r>
      <w:r w:rsidRPr="002A6731">
        <w:t>.</w:t>
      </w:r>
    </w:p>
    <w:p w14:paraId="47ABF302" w14:textId="77777777" w:rsidR="00373FB0" w:rsidRPr="00FF6925" w:rsidRDefault="00373FB0" w:rsidP="00373FB0">
      <w:pPr>
        <w:pStyle w:val="Compact"/>
        <w:numPr>
          <w:ilvl w:val="0"/>
          <w:numId w:val="44"/>
        </w:numPr>
      </w:pPr>
      <w:r w:rsidRPr="00FF6925">
        <w:rPr>
          <w:b/>
          <w:bCs/>
        </w:rPr>
        <w:t>FTA</w:t>
      </w:r>
      <w:r w:rsidRPr="002A6731">
        <w:t xml:space="preserve"> (</w:t>
      </w:r>
      <w:proofErr w:type="spellStart"/>
      <w:r w:rsidRPr="002A6731">
        <w:t>Failure</w:t>
      </w:r>
      <w:proofErr w:type="spellEnd"/>
      <w:r w:rsidRPr="002A6731">
        <w:t xml:space="preserve"> Tree Analysis, albero dei guasti) = </w:t>
      </w:r>
      <w:r w:rsidRPr="00FF6925">
        <w:rPr>
          <w:highlight w:val="cyan"/>
        </w:rPr>
        <w:t>approccio top-down, dagli effetti</w:t>
      </w:r>
      <w:r w:rsidRPr="002A6731">
        <w:t xml:space="preserve"> (il guasto) </w:t>
      </w:r>
      <w:r w:rsidRPr="00FF6925">
        <w:rPr>
          <w:highlight w:val="cyan"/>
        </w:rPr>
        <w:t>alle cause: si definisce l’evento critico finale e si risale fino alle cause primarie.</w:t>
      </w:r>
    </w:p>
    <w:p w14:paraId="2A965EE2" w14:textId="77777777" w:rsidR="00373FB0" w:rsidRPr="002A6731" w:rsidRDefault="00373FB0" w:rsidP="00373FB0">
      <w:pPr>
        <w:pStyle w:val="Compact"/>
        <w:numPr>
          <w:ilvl w:val="0"/>
          <w:numId w:val="44"/>
        </w:numPr>
      </w:pPr>
      <w:r w:rsidRPr="006424B4">
        <w:rPr>
          <w:b/>
          <w:bCs/>
        </w:rPr>
        <w:lastRenderedPageBreak/>
        <w:t>FMEA</w:t>
      </w:r>
      <w:r w:rsidRPr="002A6731">
        <w:t xml:space="preserve"> (</w:t>
      </w:r>
      <w:proofErr w:type="spellStart"/>
      <w:r w:rsidRPr="002A6731">
        <w:t>Failure</w:t>
      </w:r>
      <w:proofErr w:type="spellEnd"/>
      <w:r w:rsidRPr="002A6731">
        <w:t xml:space="preserve"> Mode </w:t>
      </w:r>
      <w:proofErr w:type="spellStart"/>
      <w:r w:rsidRPr="002A6731">
        <w:t>Effects</w:t>
      </w:r>
      <w:proofErr w:type="spellEnd"/>
      <w:r w:rsidRPr="002A6731">
        <w:t xml:space="preserve"> Analysis) = </w:t>
      </w:r>
      <w:r w:rsidRPr="00047906">
        <w:rPr>
          <w:highlight w:val="cyan"/>
        </w:rPr>
        <w:t>approccio bottom-up, dalle cause agli effetti: si suddivide il sistema in elementi, si definiscono i possibili modi di guasto</w:t>
      </w:r>
      <w:r w:rsidRPr="002A6731">
        <w:t xml:space="preserve">, le cause, gli effetti, </w:t>
      </w:r>
      <w:r w:rsidRPr="004113DE">
        <w:rPr>
          <w:highlight w:val="cyan"/>
        </w:rPr>
        <w:t>si stima la probabilità e si identificano azioni correttive</w:t>
      </w:r>
      <w:r w:rsidRPr="002A6731">
        <w:t>.</w:t>
      </w:r>
    </w:p>
    <w:p w14:paraId="65C2BEB2" w14:textId="77777777" w:rsidR="00373FB0" w:rsidRPr="002A6731" w:rsidRDefault="00373FB0" w:rsidP="00373FB0">
      <w:pPr>
        <w:pStyle w:val="Compact"/>
        <w:numPr>
          <w:ilvl w:val="0"/>
          <w:numId w:val="44"/>
        </w:numPr>
      </w:pPr>
      <w:r w:rsidRPr="006424B4">
        <w:rPr>
          <w:b/>
          <w:bCs/>
        </w:rPr>
        <w:t>FMECA</w:t>
      </w:r>
      <w:r w:rsidRPr="002A6731">
        <w:t xml:space="preserve"> = </w:t>
      </w:r>
      <w:r w:rsidRPr="004113DE">
        <w:rPr>
          <w:highlight w:val="cyan"/>
        </w:rPr>
        <w:t>aggiunge l’analisi della criticità, con l’indice di priorità del rischio</w:t>
      </w:r>
      <w:r w:rsidRPr="002A6731">
        <w:t xml:space="preserve"> (RPN) = gravità × probabilità × rilevabilità.</w:t>
      </w:r>
      <w:bookmarkEnd w:id="89"/>
    </w:p>
    <w:p w14:paraId="7B1A8E26" w14:textId="77777777" w:rsidR="00373FB0" w:rsidRPr="006424B4" w:rsidRDefault="00373FB0" w:rsidP="00373FB0">
      <w:pPr>
        <w:pStyle w:val="Titolo2"/>
      </w:pPr>
      <w:bookmarkStart w:id="90" w:name="design-review-e-prove-di-affidabilità"/>
      <w:r w:rsidRPr="006424B4">
        <w:t>Design review e prove di affidabilità</w:t>
      </w:r>
    </w:p>
    <w:p w14:paraId="44CC3FB1" w14:textId="77777777" w:rsidR="00373FB0" w:rsidRPr="002A6731" w:rsidRDefault="00373FB0" w:rsidP="00373FB0">
      <w:pPr>
        <w:pStyle w:val="FirstParagraph"/>
      </w:pPr>
      <w:r w:rsidRPr="006424B4">
        <w:rPr>
          <w:b/>
          <w:bCs/>
        </w:rPr>
        <w:t>La Design Review</w:t>
      </w:r>
      <w:r w:rsidRPr="002A6731">
        <w:t xml:space="preserve"> </w:t>
      </w:r>
      <w:r w:rsidRPr="004113DE">
        <w:rPr>
          <w:highlight w:val="cyan"/>
        </w:rPr>
        <w:t>è un riesame della progettazione a cui si aggiungono gli aspetti di affidabilità, manutenibilità e disponibilità</w:t>
      </w:r>
      <w:r w:rsidRPr="002A6731">
        <w:t>; è supportata da una check list.</w:t>
      </w:r>
    </w:p>
    <w:p w14:paraId="6AB434C0" w14:textId="77777777" w:rsidR="00373FB0" w:rsidRPr="002A6731" w:rsidRDefault="00373FB0" w:rsidP="00373FB0">
      <w:pPr>
        <w:pStyle w:val="Corpotesto"/>
      </w:pPr>
      <w:r w:rsidRPr="006424B4">
        <w:rPr>
          <w:b/>
          <w:bCs/>
        </w:rPr>
        <w:t>Le prove possono essere</w:t>
      </w:r>
      <w:r w:rsidRPr="002A6731">
        <w:t xml:space="preserve">: </w:t>
      </w:r>
      <w:r w:rsidRPr="004113DE">
        <w:rPr>
          <w:highlight w:val="cyan"/>
        </w:rPr>
        <w:t>di affidabilità</w:t>
      </w:r>
      <w:r w:rsidRPr="002A6731">
        <w:t xml:space="preserve"> (normate), </w:t>
      </w:r>
      <w:r w:rsidRPr="004113DE">
        <w:rPr>
          <w:highlight w:val="cyan"/>
        </w:rPr>
        <w:t>di qualificazione di prodotto</w:t>
      </w:r>
      <w:r w:rsidRPr="002A6731">
        <w:t xml:space="preserve"> (→ liste di prodotti qualificati) </w:t>
      </w:r>
      <w:r w:rsidRPr="004113DE">
        <w:rPr>
          <w:highlight w:val="cyan"/>
        </w:rPr>
        <w:t>e di qualificazione del fornitore</w:t>
      </w:r>
      <w:r w:rsidRPr="002A6731">
        <w:t xml:space="preserve"> (→ liste di fornitori qualificati). Il collaudo in accettazione verifica la conformità di un prodotto alle specifiche prima dell’utilizzo, per variabili o per attributi.</w:t>
      </w:r>
    </w:p>
    <w:p w14:paraId="1E58A695" w14:textId="77777777" w:rsidR="00373FB0" w:rsidRPr="002A6731" w:rsidRDefault="00373FB0" w:rsidP="00373FB0">
      <w:pPr>
        <w:pStyle w:val="Corpotesto"/>
      </w:pPr>
      <w:r w:rsidRPr="004113DE">
        <w:rPr>
          <w:highlight w:val="cyan"/>
        </w:rPr>
        <w:t>Le prove di affidabilità si svolgono in varie fasi</w:t>
      </w:r>
      <w:r w:rsidRPr="002A6731">
        <w:t xml:space="preserve"> (progettazione, acquisto componenti, collaudo) </w:t>
      </w:r>
      <w:r w:rsidRPr="004113DE">
        <w:rPr>
          <w:highlight w:val="cyan"/>
        </w:rPr>
        <w:t>e non esiste un responsabile specifico dell’affidabilità in azienda</w:t>
      </w:r>
      <w:r w:rsidRPr="002A6731">
        <w:t>.</w:t>
      </w:r>
      <w:bookmarkEnd w:id="90"/>
    </w:p>
    <w:p w14:paraId="49FB6D22" w14:textId="77777777" w:rsidR="00373FB0" w:rsidRPr="006424B4" w:rsidRDefault="00373FB0" w:rsidP="00373FB0">
      <w:pPr>
        <w:pStyle w:val="Titolo2"/>
      </w:pPr>
      <w:bookmarkStart w:id="91" w:name="affidabilità-nei-contratti"/>
      <w:r w:rsidRPr="006424B4">
        <w:t>Affidabilità nei contratti</w:t>
      </w:r>
    </w:p>
    <w:p w14:paraId="4D96845F" w14:textId="77777777" w:rsidR="00373FB0" w:rsidRPr="002A6731" w:rsidRDefault="00373FB0" w:rsidP="00373FB0">
      <w:pPr>
        <w:pStyle w:val="FirstParagraph"/>
      </w:pPr>
      <w:r w:rsidRPr="004113DE">
        <w:rPr>
          <w:highlight w:val="cyan"/>
        </w:rPr>
        <w:t>In certi contratti</w:t>
      </w:r>
      <w:r w:rsidRPr="002A6731">
        <w:t xml:space="preserve"> (es. settore aeronautico) </w:t>
      </w:r>
      <w:r w:rsidRPr="004113DE">
        <w:rPr>
          <w:highlight w:val="cyan"/>
        </w:rPr>
        <w:t>vengono inserite anche le caratteristiche/requisiti di affidabilità che il prodotto deve avere</w:t>
      </w:r>
      <w:r w:rsidRPr="002A6731">
        <w:t xml:space="preserve">; le prove di verifica si fanno appositamente sul prodotto unico (es. aerei, navi). </w:t>
      </w:r>
      <w:r w:rsidRPr="004113DE">
        <w:rPr>
          <w:highlight w:val="cyan"/>
        </w:rPr>
        <w:t>Un sistema può continuare a operare in funzionamento degradato</w:t>
      </w:r>
      <w:r w:rsidRPr="002A6731">
        <w:t xml:space="preserve"> (prestazioni inferiori ma accettabili): </w:t>
      </w:r>
      <w:r w:rsidRPr="004113DE">
        <w:rPr>
          <w:highlight w:val="cyan"/>
        </w:rPr>
        <w:t>nei contratti è quindi importante definire chiaramente cosa si intende per funzionamento corretto</w:t>
      </w:r>
      <w:r w:rsidRPr="002A6731">
        <w:t>, guasto, livello minimo di servizio e disponibilità richiesta</w:t>
      </w:r>
      <w:bookmarkEnd w:id="91"/>
      <w:r>
        <w:t>.</w:t>
      </w:r>
    </w:p>
    <w:p w14:paraId="2261143E" w14:textId="77777777" w:rsidR="00373FB0" w:rsidRPr="006424B4" w:rsidRDefault="00373FB0" w:rsidP="00373FB0">
      <w:pPr>
        <w:pStyle w:val="Titolo2"/>
      </w:pPr>
      <w:bookmarkStart w:id="92" w:name="manutenzione-e-manutenibilità"/>
      <w:r w:rsidRPr="006424B4">
        <w:t>Manutenzione e manutenibilità</w:t>
      </w:r>
    </w:p>
    <w:p w14:paraId="01525F4D" w14:textId="77777777" w:rsidR="00373FB0" w:rsidRPr="002A6731" w:rsidRDefault="00373FB0" w:rsidP="00373FB0">
      <w:pPr>
        <w:pStyle w:val="FirstParagraph"/>
      </w:pPr>
      <w:r w:rsidRPr="006424B4">
        <w:rPr>
          <w:b/>
          <w:bCs/>
        </w:rPr>
        <w:t>Manutenzione</w:t>
      </w:r>
      <w:r w:rsidRPr="002A6731">
        <w:t xml:space="preserve"> (</w:t>
      </w:r>
      <w:r w:rsidRPr="004113DE">
        <w:rPr>
          <w:highlight w:val="cyan"/>
        </w:rPr>
        <w:t>il processo</w:t>
      </w:r>
      <w:r w:rsidRPr="002A6731">
        <w:t xml:space="preserve">) vs </w:t>
      </w:r>
      <w:r w:rsidRPr="006424B4">
        <w:rPr>
          <w:b/>
          <w:bCs/>
        </w:rPr>
        <w:t>manutenibilità</w:t>
      </w:r>
      <w:r w:rsidRPr="002A6731">
        <w:t xml:space="preserve"> (</w:t>
      </w:r>
      <w:r w:rsidRPr="004113DE">
        <w:rPr>
          <w:highlight w:val="cyan"/>
        </w:rPr>
        <w:t>l’output del processo</w:t>
      </w:r>
      <w:r w:rsidRPr="002A6731">
        <w:t xml:space="preserve">, cioè la caratteristica dell’oggetto: la semplicità con cui posso ripararlo). </w:t>
      </w:r>
      <w:r w:rsidRPr="004113DE">
        <w:rPr>
          <w:highlight w:val="cyan"/>
        </w:rPr>
        <w:t>La manutenzione si classifica in più modi:</w:t>
      </w:r>
    </w:p>
    <w:p w14:paraId="501EB91B" w14:textId="77777777" w:rsidR="00373FB0" w:rsidRPr="006424B4" w:rsidRDefault="00373FB0" w:rsidP="00373FB0">
      <w:pPr>
        <w:pStyle w:val="Compact"/>
        <w:numPr>
          <w:ilvl w:val="0"/>
          <w:numId w:val="44"/>
        </w:numPr>
        <w:rPr>
          <w:b/>
          <w:bCs/>
        </w:rPr>
      </w:pPr>
      <w:r w:rsidRPr="006424B4">
        <w:rPr>
          <w:b/>
          <w:bCs/>
        </w:rPr>
        <w:t>Correttiva</w:t>
      </w:r>
      <w:r w:rsidRPr="002A6731">
        <w:t xml:space="preserve"> (</w:t>
      </w:r>
      <w:r w:rsidRPr="004113DE">
        <w:rPr>
          <w:highlight w:val="cyan"/>
        </w:rPr>
        <w:t>a seguito di un guasto</w:t>
      </w:r>
      <w:r w:rsidRPr="002A6731">
        <w:t xml:space="preserve">) vs </w:t>
      </w:r>
      <w:r w:rsidRPr="006424B4">
        <w:rPr>
          <w:b/>
          <w:bCs/>
        </w:rPr>
        <w:t>preventiva</w:t>
      </w:r>
      <w:r w:rsidRPr="002A6731">
        <w:t xml:space="preserve"> (</w:t>
      </w:r>
      <w:r w:rsidRPr="004113DE">
        <w:rPr>
          <w:highlight w:val="cyan"/>
        </w:rPr>
        <w:t>ad intervalli prestabiliti</w:t>
      </w:r>
      <w:r w:rsidRPr="002A6731">
        <w:t xml:space="preserve">, senza che il guasto sia avvenuto) vs </w:t>
      </w:r>
      <w:r w:rsidRPr="006424B4">
        <w:rPr>
          <w:b/>
          <w:bCs/>
        </w:rPr>
        <w:t>migliorativa</w:t>
      </w:r>
      <w:r w:rsidRPr="002A6731">
        <w:t xml:space="preserve"> (</w:t>
      </w:r>
      <w:r w:rsidRPr="004113DE">
        <w:rPr>
          <w:highlight w:val="cyan"/>
        </w:rPr>
        <w:t>per migliorare valore e prestazioni</w:t>
      </w:r>
      <w:r w:rsidRPr="002A6731">
        <w:t xml:space="preserve"> della macchina, senza guasto).</w:t>
      </w:r>
    </w:p>
    <w:p w14:paraId="45B01A20" w14:textId="77777777" w:rsidR="00373FB0" w:rsidRPr="002A6731" w:rsidRDefault="00373FB0" w:rsidP="00373FB0">
      <w:pPr>
        <w:pStyle w:val="Compact"/>
        <w:numPr>
          <w:ilvl w:val="0"/>
          <w:numId w:val="44"/>
        </w:numPr>
      </w:pPr>
      <w:r w:rsidRPr="006424B4">
        <w:rPr>
          <w:b/>
          <w:bCs/>
        </w:rPr>
        <w:t>Ordinaria</w:t>
      </w:r>
      <w:r w:rsidRPr="002A6731">
        <w:t xml:space="preserve"> (</w:t>
      </w:r>
      <w:r w:rsidRPr="004113DE">
        <w:rPr>
          <w:highlight w:val="cyan"/>
        </w:rPr>
        <w:t>per allungare la vita della macchina</w:t>
      </w:r>
      <w:r w:rsidRPr="002A6731">
        <w:t xml:space="preserve">) vs </w:t>
      </w:r>
      <w:r w:rsidRPr="006424B4">
        <w:rPr>
          <w:b/>
          <w:bCs/>
        </w:rPr>
        <w:t>straordinaria</w:t>
      </w:r>
      <w:r w:rsidRPr="002A6731">
        <w:t xml:space="preserve"> (</w:t>
      </w:r>
      <w:r w:rsidRPr="004113DE">
        <w:rPr>
          <w:highlight w:val="cyan"/>
        </w:rPr>
        <w:t>meno ricorrente, più costosa</w:t>
      </w:r>
      <w:r w:rsidRPr="002A6731">
        <w:t>).</w:t>
      </w:r>
    </w:p>
    <w:p w14:paraId="0FE71059" w14:textId="77777777" w:rsidR="00373FB0" w:rsidRPr="002A6731" w:rsidRDefault="00373FB0" w:rsidP="00373FB0">
      <w:pPr>
        <w:pStyle w:val="FirstParagraph"/>
      </w:pPr>
      <w:r w:rsidRPr="006424B4">
        <w:rPr>
          <w:b/>
          <w:bCs/>
        </w:rPr>
        <w:t>La logistica della manutenzione</w:t>
      </w:r>
      <w:r w:rsidRPr="002A6731">
        <w:t xml:space="preserve"> </w:t>
      </w:r>
      <w:r w:rsidRPr="004113DE">
        <w:rPr>
          <w:highlight w:val="cyan"/>
        </w:rPr>
        <w:t>è il tempo che trascorre dal verificarsi del guasto al ripristino completo</w:t>
      </w:r>
      <w:r w:rsidRPr="002A6731">
        <w:t xml:space="preserve">: rilevare il guasto, segnalarlo, reperire il personale, trasporto di personale e strumentazione, manutenzione effettiva, eventuale attesa dei ricambi, collaudo finale. </w:t>
      </w:r>
      <w:r w:rsidRPr="004113DE">
        <w:rPr>
          <w:highlight w:val="cyan"/>
        </w:rPr>
        <w:t>Per questo l’MTTR comprende molto più della sola riparazione materiale</w:t>
      </w:r>
      <w:r w:rsidRPr="002A6731">
        <w:t>.</w:t>
      </w:r>
      <w:bookmarkEnd w:id="92"/>
    </w:p>
    <w:p w14:paraId="2E6AEE31" w14:textId="77777777" w:rsidR="00373FB0" w:rsidRPr="006424B4" w:rsidRDefault="00373FB0" w:rsidP="00373FB0">
      <w:pPr>
        <w:pStyle w:val="Titolo2"/>
      </w:pPr>
      <w:bookmarkStart w:id="93" w:name="dati-di-affidabilità"/>
      <w:r w:rsidRPr="006424B4">
        <w:lastRenderedPageBreak/>
        <w:t>Dati di affidabilità</w:t>
      </w:r>
    </w:p>
    <w:p w14:paraId="574088B1" w14:textId="77777777" w:rsidR="00373FB0" w:rsidRPr="002A6731" w:rsidRDefault="00373FB0" w:rsidP="00373FB0">
      <w:pPr>
        <w:pStyle w:val="FirstParagraph"/>
      </w:pPr>
      <w:r w:rsidRPr="004113DE">
        <w:rPr>
          <w:highlight w:val="cyan"/>
        </w:rPr>
        <w:t>I dati di affidabilità derivano da osservazioni, prove, modelli e verifiche. La loro qualità è fondamentale, perché decisioni progettuali o contrattuali sbagliate possono nascere da dati incompleti o poco rappresentativi</w:t>
      </w:r>
      <w:r w:rsidRPr="002A6731">
        <w:t>. Sono spesso difficili da gestire perché dipendono dalle condizioni di prova, dalla quantità di campioni osservati, dal tipo di componente e dal metodo statistico utilizzato → vanno raccolti in modo ordinato e interpretati correttamente.</w:t>
      </w:r>
      <w:bookmarkEnd w:id="93"/>
    </w:p>
    <w:p w14:paraId="61C8E5A9" w14:textId="77777777" w:rsidR="00373FB0" w:rsidRPr="006424B4" w:rsidRDefault="00373FB0" w:rsidP="00373FB0">
      <w:pPr>
        <w:pStyle w:val="Titolo2"/>
      </w:pPr>
      <w:bookmarkStart w:id="94" w:name="norme-sullaffidabilità"/>
      <w:r w:rsidRPr="006424B4">
        <w:t>Norme sull’affidabilità</w:t>
      </w:r>
    </w:p>
    <w:p w14:paraId="731F6BCB" w14:textId="77777777" w:rsidR="00373FB0" w:rsidRPr="002A6731" w:rsidRDefault="00373FB0" w:rsidP="00373FB0">
      <w:pPr>
        <w:pStyle w:val="FirstParagraph"/>
      </w:pPr>
      <w:r w:rsidRPr="004113DE">
        <w:rPr>
          <w:highlight w:val="cyan"/>
        </w:rPr>
        <w:t>Le norme sull’affidabilità servono a rendere omogenee le definizioni, i metodi di prova, i criteri di valutazione e le modalità di confronto tra prodotti o sistemi</w:t>
      </w:r>
      <w:r w:rsidRPr="002A6731">
        <w:t>. La normativa IEC ha avuto un ruolo centrale nel formalizzare i concetti di affidabilità, manutenibilità, disponibilità e gestione della fidatezza, soprattutto nei settori dove sicurezza, costi e continuità di servizio sono fondamentali.</w:t>
      </w:r>
      <w:bookmarkEnd w:id="78"/>
      <w:bookmarkEnd w:id="94"/>
    </w:p>
    <w:p w14:paraId="1EB62A1B" w14:textId="77777777" w:rsidR="00A92F0C" w:rsidRPr="00E35AFD" w:rsidRDefault="00A92F0C" w:rsidP="00373FB0">
      <w:pPr>
        <w:pStyle w:val="Titolo1"/>
      </w:pPr>
    </w:p>
    <w:sectPr w:rsidR="00A92F0C" w:rsidRPr="00E35AFD">
      <w:pgSz w:w="12240" w:h="15840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0E31"/>
    <w:multiLevelType w:val="multilevel"/>
    <w:tmpl w:val="593A7612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1" w15:restartNumberingAfterBreak="0">
    <w:nsid w:val="07A201F9"/>
    <w:multiLevelType w:val="multilevel"/>
    <w:tmpl w:val="9B6AB6A0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 w15:restartNumberingAfterBreak="0">
    <w:nsid w:val="0C1E0052"/>
    <w:multiLevelType w:val="multilevel"/>
    <w:tmpl w:val="01F8E99C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 w15:restartNumberingAfterBreak="0">
    <w:nsid w:val="0D645F91"/>
    <w:multiLevelType w:val="multilevel"/>
    <w:tmpl w:val="F404E274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4" w15:restartNumberingAfterBreak="0">
    <w:nsid w:val="11BF04A5"/>
    <w:multiLevelType w:val="multilevel"/>
    <w:tmpl w:val="98F09A2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18DE2B56"/>
    <w:multiLevelType w:val="multilevel"/>
    <w:tmpl w:val="2676E52E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 w15:restartNumberingAfterBreak="0">
    <w:nsid w:val="1C0F129F"/>
    <w:multiLevelType w:val="multilevel"/>
    <w:tmpl w:val="34563ECE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 w15:restartNumberingAfterBreak="0">
    <w:nsid w:val="1FEB355F"/>
    <w:multiLevelType w:val="multilevel"/>
    <w:tmpl w:val="4BA68502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 w15:restartNumberingAfterBreak="0">
    <w:nsid w:val="21BF60D9"/>
    <w:multiLevelType w:val="multilevel"/>
    <w:tmpl w:val="51F6BFEE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 w15:restartNumberingAfterBreak="0">
    <w:nsid w:val="34AE2C4B"/>
    <w:multiLevelType w:val="multilevel"/>
    <w:tmpl w:val="07E646EE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 w15:restartNumberingAfterBreak="0">
    <w:nsid w:val="34D635D6"/>
    <w:multiLevelType w:val="multilevel"/>
    <w:tmpl w:val="144C1536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 w15:restartNumberingAfterBreak="0">
    <w:nsid w:val="39B7658B"/>
    <w:multiLevelType w:val="multilevel"/>
    <w:tmpl w:val="C192BA38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 w15:restartNumberingAfterBreak="0">
    <w:nsid w:val="47624FE4"/>
    <w:multiLevelType w:val="multilevel"/>
    <w:tmpl w:val="4A9EF56C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 w15:restartNumberingAfterBreak="0">
    <w:nsid w:val="49092E13"/>
    <w:multiLevelType w:val="multilevel"/>
    <w:tmpl w:val="A28070B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A6D4982"/>
    <w:multiLevelType w:val="multilevel"/>
    <w:tmpl w:val="967229BE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 w15:restartNumberingAfterBreak="0">
    <w:nsid w:val="5ACA3DED"/>
    <w:multiLevelType w:val="multilevel"/>
    <w:tmpl w:val="D3E4704A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 w15:restartNumberingAfterBreak="0">
    <w:nsid w:val="659B2A90"/>
    <w:multiLevelType w:val="multilevel"/>
    <w:tmpl w:val="B6AEAF20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 w15:restartNumberingAfterBreak="0">
    <w:nsid w:val="68140304"/>
    <w:multiLevelType w:val="multilevel"/>
    <w:tmpl w:val="19981BB4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num w:numId="1" w16cid:durableId="1194343085">
    <w:abstractNumId w:val="6"/>
  </w:num>
  <w:num w:numId="2" w16cid:durableId="1381244735">
    <w:abstractNumId w:val="10"/>
  </w:num>
  <w:num w:numId="3" w16cid:durableId="1488202583">
    <w:abstractNumId w:val="8"/>
  </w:num>
  <w:num w:numId="4" w16cid:durableId="1668249038">
    <w:abstractNumId w:val="1"/>
  </w:num>
  <w:num w:numId="5" w16cid:durableId="2008827970">
    <w:abstractNumId w:val="12"/>
  </w:num>
  <w:num w:numId="6" w16cid:durableId="384572592">
    <w:abstractNumId w:val="14"/>
  </w:num>
  <w:num w:numId="7" w16cid:durableId="1313826131">
    <w:abstractNumId w:val="11"/>
  </w:num>
  <w:num w:numId="8" w16cid:durableId="2078939973">
    <w:abstractNumId w:val="15"/>
  </w:num>
  <w:num w:numId="9" w16cid:durableId="500581694">
    <w:abstractNumId w:val="2"/>
  </w:num>
  <w:num w:numId="10" w16cid:durableId="1968193166">
    <w:abstractNumId w:val="4"/>
  </w:num>
  <w:num w:numId="11" w16cid:durableId="1440759261">
    <w:abstractNumId w:val="6"/>
  </w:num>
  <w:num w:numId="12" w16cid:durableId="1916238494">
    <w:abstractNumId w:val="6"/>
  </w:num>
  <w:num w:numId="13" w16cid:durableId="755442823">
    <w:abstractNumId w:val="6"/>
  </w:num>
  <w:num w:numId="14" w16cid:durableId="1064790231">
    <w:abstractNumId w:val="6"/>
  </w:num>
  <w:num w:numId="15" w16cid:durableId="1847747676">
    <w:abstractNumId w:val="6"/>
  </w:num>
  <w:num w:numId="16" w16cid:durableId="748160800">
    <w:abstractNumId w:val="6"/>
  </w:num>
  <w:num w:numId="17" w16cid:durableId="1423454149">
    <w:abstractNumId w:val="6"/>
  </w:num>
  <w:num w:numId="18" w16cid:durableId="851722806">
    <w:abstractNumId w:val="6"/>
  </w:num>
  <w:num w:numId="19" w16cid:durableId="1460107845">
    <w:abstractNumId w:val="6"/>
  </w:num>
  <w:num w:numId="20" w16cid:durableId="1425297553">
    <w:abstractNumId w:val="6"/>
  </w:num>
  <w:num w:numId="21" w16cid:durableId="1361203425">
    <w:abstractNumId w:val="6"/>
  </w:num>
  <w:num w:numId="22" w16cid:durableId="1913081587">
    <w:abstractNumId w:val="6"/>
  </w:num>
  <w:num w:numId="23" w16cid:durableId="108664245">
    <w:abstractNumId w:val="6"/>
  </w:num>
  <w:num w:numId="24" w16cid:durableId="1158770036">
    <w:abstractNumId w:val="6"/>
  </w:num>
  <w:num w:numId="25" w16cid:durableId="1165975504">
    <w:abstractNumId w:val="6"/>
  </w:num>
  <w:num w:numId="26" w16cid:durableId="47001281">
    <w:abstractNumId w:val="6"/>
  </w:num>
  <w:num w:numId="27" w16cid:durableId="2133354887">
    <w:abstractNumId w:val="6"/>
  </w:num>
  <w:num w:numId="28" w16cid:durableId="1493401094">
    <w:abstractNumId w:val="6"/>
  </w:num>
  <w:num w:numId="29" w16cid:durableId="821115386">
    <w:abstractNumId w:val="6"/>
  </w:num>
  <w:num w:numId="30" w16cid:durableId="1084913180">
    <w:abstractNumId w:val="6"/>
  </w:num>
  <w:num w:numId="31" w16cid:durableId="528572569">
    <w:abstractNumId w:val="6"/>
  </w:num>
  <w:num w:numId="32" w16cid:durableId="520899919">
    <w:abstractNumId w:val="6"/>
  </w:num>
  <w:num w:numId="33" w16cid:durableId="1000697194">
    <w:abstractNumId w:val="6"/>
  </w:num>
  <w:num w:numId="34" w16cid:durableId="1263029933">
    <w:abstractNumId w:val="6"/>
  </w:num>
  <w:num w:numId="35" w16cid:durableId="29652955">
    <w:abstractNumId w:val="7"/>
  </w:num>
  <w:num w:numId="36" w16cid:durableId="368183332">
    <w:abstractNumId w:val="0"/>
  </w:num>
  <w:num w:numId="37" w16cid:durableId="773596224">
    <w:abstractNumId w:val="0"/>
    <w:lvlOverride w:ilvl="0">
      <w:startOverride w:val="1"/>
    </w:lvlOverride>
    <w:lvlOverride w:ilvl="1">
      <w:startOverride w:val="1"/>
    </w:lvlOverride>
  </w:num>
  <w:num w:numId="38" w16cid:durableId="31654113">
    <w:abstractNumId w:val="13"/>
  </w:num>
  <w:num w:numId="39" w16cid:durableId="1359818797">
    <w:abstractNumId w:val="17"/>
  </w:num>
  <w:num w:numId="40" w16cid:durableId="1132871183">
    <w:abstractNumId w:val="3"/>
  </w:num>
  <w:num w:numId="41" w16cid:durableId="93526392">
    <w:abstractNumId w:val="3"/>
    <w:lvlOverride w:ilvl="0">
      <w:startOverride w:val="1"/>
    </w:lvlOverride>
    <w:lvlOverride w:ilvl="1">
      <w:startOverride w:val="1"/>
    </w:lvlOverride>
  </w:num>
  <w:num w:numId="42" w16cid:durableId="611088351">
    <w:abstractNumId w:val="16"/>
  </w:num>
  <w:num w:numId="43" w16cid:durableId="1998457567">
    <w:abstractNumId w:val="5"/>
  </w:num>
  <w:num w:numId="44" w16cid:durableId="16034153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autoHyphenation/>
  <w:hyphenationZone w:val="283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5D9E"/>
    <w:rsid w:val="000064E0"/>
    <w:rsid w:val="00020E7B"/>
    <w:rsid w:val="00054EA6"/>
    <w:rsid w:val="000A1D4A"/>
    <w:rsid w:val="001603B4"/>
    <w:rsid w:val="00184BCC"/>
    <w:rsid w:val="0030121E"/>
    <w:rsid w:val="00373FB0"/>
    <w:rsid w:val="003869AA"/>
    <w:rsid w:val="003F0500"/>
    <w:rsid w:val="00426F57"/>
    <w:rsid w:val="0043774C"/>
    <w:rsid w:val="004617A6"/>
    <w:rsid w:val="004A6F6E"/>
    <w:rsid w:val="00544FA7"/>
    <w:rsid w:val="00560CB9"/>
    <w:rsid w:val="005B216D"/>
    <w:rsid w:val="005E7C0D"/>
    <w:rsid w:val="0069380F"/>
    <w:rsid w:val="006C73D7"/>
    <w:rsid w:val="006D5397"/>
    <w:rsid w:val="006E0479"/>
    <w:rsid w:val="007370AF"/>
    <w:rsid w:val="00892866"/>
    <w:rsid w:val="0089291A"/>
    <w:rsid w:val="009602FE"/>
    <w:rsid w:val="00982C44"/>
    <w:rsid w:val="00990F5F"/>
    <w:rsid w:val="00A45D9E"/>
    <w:rsid w:val="00A8489A"/>
    <w:rsid w:val="00A92F0C"/>
    <w:rsid w:val="00AC5021"/>
    <w:rsid w:val="00B17691"/>
    <w:rsid w:val="00BF34CB"/>
    <w:rsid w:val="00C569AC"/>
    <w:rsid w:val="00CB0EF5"/>
    <w:rsid w:val="00CB2BC3"/>
    <w:rsid w:val="00DD5483"/>
    <w:rsid w:val="00E35AFD"/>
    <w:rsid w:val="00EA067C"/>
    <w:rsid w:val="00ED5072"/>
    <w:rsid w:val="00F25219"/>
    <w:rsid w:val="00FF7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7"/>
    <o:shapelayout v:ext="edit">
      <o:idmap v:ext="edit" data="1"/>
    </o:shapelayout>
  </w:shapeDefaults>
  <w:decimalSymbol w:val=","/>
  <w:listSeparator w:val=";"/>
  <w14:docId w14:val="6162B441"/>
  <w15:docId w15:val="{FFDDEC41-829D-4288-8313-E44E530F9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pacing w:after="200"/>
    </w:pPr>
    <w:rPr>
      <w:lang w:val="it-IT"/>
    </w:rPr>
  </w:style>
  <w:style w:type="paragraph" w:styleId="Titolo1">
    <w:name w:val="heading 1"/>
    <w:basedOn w:val="Normale"/>
    <w:next w:val="Corpotesto"/>
    <w:link w:val="Titolo1Caratter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olo2">
    <w:name w:val="heading 2"/>
    <w:basedOn w:val="Normale"/>
    <w:next w:val="Corpotesto"/>
    <w:link w:val="Titolo2Caratter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olo3">
    <w:name w:val="heading 3"/>
    <w:basedOn w:val="Normale"/>
    <w:next w:val="Corpotesto"/>
    <w:link w:val="Titolo3Caratter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Corpotes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olo5">
    <w:name w:val="heading 5"/>
    <w:basedOn w:val="Normale"/>
    <w:next w:val="Corpotes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olo6">
    <w:name w:val="heading 6"/>
    <w:basedOn w:val="Normale"/>
    <w:next w:val="Corpotes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olo7">
    <w:name w:val="heading 7"/>
    <w:basedOn w:val="Normale"/>
    <w:next w:val="Corpotes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olo8">
    <w:name w:val="heading 8"/>
    <w:basedOn w:val="Normale"/>
    <w:next w:val="Corpotes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olo9">
    <w:name w:val="heading 9"/>
    <w:basedOn w:val="Normale"/>
    <w:next w:val="Corpotes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DidascaliaCarattere">
    <w:name w:val="Didascalia Carattere"/>
    <w:basedOn w:val="Carpredefinitoparagrafo"/>
    <w:link w:val="Didascalia"/>
    <w:qFormat/>
  </w:style>
  <w:style w:type="character" w:customStyle="1" w:styleId="VerbatimChar">
    <w:name w:val="Verbatim Char"/>
    <w:basedOn w:val="DidascaliaCarattere"/>
    <w:link w:val="SourceCode"/>
    <w:qFormat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  <w:qFormat/>
  </w:style>
  <w:style w:type="character" w:customStyle="1" w:styleId="FootnoteCharacters">
    <w:name w:val="Footnote Characters"/>
    <w:basedOn w:val="DidascaliaCarattere"/>
    <w:qFormat/>
    <w:rPr>
      <w:vertAlign w:val="superscript"/>
    </w:rPr>
  </w:style>
  <w:style w:type="character" w:styleId="Rimandonotaapidipagina">
    <w:name w:val="footnote reference"/>
    <w:rPr>
      <w:vertAlign w:val="superscript"/>
    </w:rPr>
  </w:style>
  <w:style w:type="character" w:styleId="Collegamentoipertestuale">
    <w:name w:val="Hyperlink"/>
    <w:basedOn w:val="DidascaliaCarattere"/>
    <w:rPr>
      <w:color w:val="4F81BD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otesto">
    <w:name w:val="Body Text"/>
    <w:basedOn w:val="Normale"/>
    <w:link w:val="CorpotestoCarattere"/>
    <w:qFormat/>
    <w:pPr>
      <w:spacing w:before="180" w:after="180"/>
    </w:pPr>
  </w:style>
  <w:style w:type="paragraph" w:styleId="Elenco">
    <w:name w:val="List"/>
    <w:basedOn w:val="Corpotesto"/>
    <w:rPr>
      <w:rFonts w:cs="FreeSans"/>
    </w:rPr>
  </w:style>
  <w:style w:type="paragraph" w:styleId="Didascalia">
    <w:name w:val="caption"/>
    <w:basedOn w:val="Normale"/>
    <w:link w:val="DidascaliaCarattere"/>
    <w:qFormat/>
    <w:pPr>
      <w:spacing w:after="120"/>
    </w:pPr>
    <w:rPr>
      <w:i/>
    </w:rPr>
  </w:style>
  <w:style w:type="paragraph" w:customStyle="1" w:styleId="Index">
    <w:name w:val="Index"/>
    <w:basedOn w:val="Normale"/>
    <w:qFormat/>
    <w:pPr>
      <w:suppressLineNumbers/>
    </w:pPr>
    <w:rPr>
      <w:rFonts w:cs="FreeSans"/>
    </w:r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ttotitolo">
    <w:name w:val="Subtitle"/>
    <w:basedOn w:val="Titolo"/>
    <w:next w:val="Corpotes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testo"/>
    <w:qFormat/>
    <w:pPr>
      <w:keepNext/>
      <w:keepLines/>
      <w:spacing w:after="200"/>
      <w:jc w:val="center"/>
    </w:pPr>
  </w:style>
  <w:style w:type="paragraph" w:styleId="Data">
    <w:name w:val="Date"/>
    <w:next w:val="Corpotesto"/>
    <w:qFormat/>
    <w:pPr>
      <w:keepNext/>
      <w:keepLines/>
      <w:spacing w:after="200"/>
      <w:jc w:val="center"/>
    </w:p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paragraph" w:customStyle="1" w:styleId="DefinitionTerm">
    <w:name w:val="Definition Term"/>
    <w:basedOn w:val="Normale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  <w:qFormat/>
  </w:style>
  <w:style w:type="paragraph" w:customStyle="1" w:styleId="TableCaption">
    <w:name w:val="Table Caption"/>
    <w:basedOn w:val="Didascalia"/>
    <w:qFormat/>
    <w:pPr>
      <w:keepNext/>
    </w:pPr>
  </w:style>
  <w:style w:type="paragraph" w:customStyle="1" w:styleId="ImageCaption">
    <w:name w:val="Image Caption"/>
    <w:basedOn w:val="Didascalia"/>
    <w:qFormat/>
  </w:style>
  <w:style w:type="paragraph" w:customStyle="1" w:styleId="Figure">
    <w:name w:val="Figure"/>
    <w:basedOn w:val="Normale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styleId="Titoloindice">
    <w:name w:val="index heading"/>
    <w:basedOn w:val="Heading"/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e"/>
    <w:link w:val="VerbatimChar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sid w:val="0030121E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0121E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Titolo3Carattere">
    <w:name w:val="Titolo 3 Carattere"/>
    <w:basedOn w:val="Carpredefinitoparagrafo"/>
    <w:link w:val="Titolo3"/>
    <w:uiPriority w:val="9"/>
    <w:rsid w:val="0030121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orpotestoCarattere">
    <w:name w:val="Corpo testo Carattere"/>
    <w:basedOn w:val="Carpredefinitoparagrafo"/>
    <w:link w:val="Corpotesto"/>
    <w:rsid w:val="00A92F0C"/>
    <w:rPr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35</Pages>
  <Words>12231</Words>
  <Characters>69718</Characters>
  <Application>Microsoft Office Word</Application>
  <DocSecurity>0</DocSecurity>
  <Lines>580</Lines>
  <Paragraphs>163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Giacomo Neri</cp:lastModifiedBy>
  <cp:revision>12</cp:revision>
  <dcterms:created xsi:type="dcterms:W3CDTF">2026-06-16T21:01:00Z</dcterms:created>
  <dcterms:modified xsi:type="dcterms:W3CDTF">2026-06-24T10:08:00Z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2026-06-16T20:55:10Z</dcterms:created>
  <dc:creator/>
  <dc:description/>
  <dc:language>en-US</dc:language>
  <cp:lastModifiedBy/>
  <dcterms:modified xsi:type="dcterms:W3CDTF">2026-06-16T20:55:10Z</dcterms:modified>
  <cp:revision>0</cp:revision>
  <dc:subject/>
  <dc:title/>
</cp:coreProperties>
</file>