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254FB7">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254FB7">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254FB7">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254FB7">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Layout w:type="fixed"/>
        <w:tblCellMar>
          <w:left w:w="0" w:type="dxa"/>
          <w:right w:w="0" w:type="dxa"/>
        </w:tblCellMar>
        <w:tblLook w:val="01E0"/>
      </w:tblPr>
      <w:tblGrid>
        <w:gridCol w:w="765"/>
        <w:gridCol w:w="5337"/>
        <w:gridCol w:w="851"/>
        <w:gridCol w:w="851"/>
        <w:gridCol w:w="1416"/>
        <w:gridCol w:w="941"/>
      </w:tblGrid>
      <w:tr w:rsidR="00C44FBE" w:rsidRPr="00951D02" w:rsidTr="00C44FBE">
        <w:trPr>
          <w:trHeight w:val="20"/>
        </w:trPr>
        <w:tc>
          <w:tcPr>
            <w:tcW w:w="3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6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C44FBE" w:rsidRPr="00951D02" w:rsidRDefault="00C44FBE"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19"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C44FBE" w:rsidRPr="00951D02" w:rsidRDefault="00C44FBE"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419"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697"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C44FBE" w:rsidRPr="00951D02" w:rsidRDefault="00C44FBE"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63"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C44FBE" w:rsidRPr="00951D02" w:rsidRDefault="00C44FBE"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C44FBE" w:rsidRPr="00951D02" w:rsidTr="00C44FBE">
        <w:trPr>
          <w:trHeight w:val="20"/>
        </w:trPr>
        <w:tc>
          <w:tcPr>
            <w:tcW w:w="3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6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19" w:type="pct"/>
            <w:tcBorders>
              <w:top w:val="single" w:sz="5" w:space="0" w:color="000000"/>
              <w:left w:val="single" w:sz="5" w:space="0" w:color="000000"/>
              <w:bottom w:val="single" w:sz="5" w:space="0" w:color="000000"/>
              <w:right w:val="single" w:sz="4" w:space="0" w:color="auto"/>
            </w:tcBorders>
            <w:shd w:val="clear" w:color="auto" w:fill="auto"/>
            <w:vAlign w:val="center"/>
          </w:tcPr>
          <w:p w:rsidR="00C44FBE" w:rsidRPr="00951D02" w:rsidRDefault="00C44FBE"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419" w:type="pct"/>
            <w:tcBorders>
              <w:top w:val="single" w:sz="5" w:space="0" w:color="000000"/>
              <w:left w:val="single" w:sz="4" w:space="0" w:color="auto"/>
              <w:bottom w:val="single" w:sz="5" w:space="0" w:color="000000"/>
              <w:right w:val="single" w:sz="5" w:space="0" w:color="000000"/>
            </w:tcBorders>
            <w:shd w:val="clear" w:color="auto" w:fill="auto"/>
            <w:vAlign w:val="center"/>
          </w:tcPr>
          <w:p w:rsidR="00C44FBE" w:rsidRPr="00951D02" w:rsidRDefault="00C44FBE"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697"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63"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C44FBE" w:rsidRPr="00951D02" w:rsidTr="00C44FBE">
        <w:trPr>
          <w:trHeight w:val="20"/>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C44FBE">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C44FBE" w:rsidRPr="00951D02" w:rsidTr="00C44FBE">
        <w:trPr>
          <w:trHeight w:val="20"/>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C44FBE">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C44FBE" w:rsidRPr="00951D02" w:rsidTr="00C44FBE">
        <w:trPr>
          <w:trHeight w:val="20"/>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C44FBE">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C44FBE" w:rsidRPr="00951D02" w:rsidTr="00C44FBE">
        <w:trPr>
          <w:trHeight w:val="20"/>
        </w:trPr>
        <w:tc>
          <w:tcPr>
            <w:tcW w:w="3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Default="00C44FBE" w:rsidP="00A83627">
            <w:pPr>
              <w:widowControl w:val="0"/>
              <w:spacing w:before="32" w:after="0" w:line="240" w:lineRule="auto"/>
              <w:ind w:left="34" w:right="-20"/>
              <w:jc w:val="center"/>
              <w:rPr>
                <w:rFonts w:ascii="Times New Roman" w:hAnsi="Times New Roman"/>
                <w:color w:val="000000"/>
                <w:sz w:val="16"/>
                <w:szCs w:val="16"/>
                <w:lang w:val="en-US"/>
              </w:rPr>
            </w:pPr>
          </w:p>
        </w:tc>
        <w:tc>
          <w:tcPr>
            <w:tcW w:w="26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widowControl w:val="0"/>
              <w:spacing w:before="32" w:after="0" w:line="240" w:lineRule="auto"/>
              <w:ind w:left="64" w:right="-20"/>
              <w:jc w:val="center"/>
              <w:rPr>
                <w:rFonts w:ascii="Times New Roman" w:hAnsi="Times New Roman"/>
                <w:color w:val="000000"/>
                <w:sz w:val="16"/>
                <w:szCs w:val="16"/>
              </w:rPr>
            </w:pPr>
          </w:p>
        </w:tc>
        <w:tc>
          <w:tcPr>
            <w:tcW w:w="419" w:type="pct"/>
            <w:tcBorders>
              <w:top w:val="single" w:sz="5" w:space="0" w:color="000000"/>
              <w:left w:val="single" w:sz="5" w:space="0" w:color="000000"/>
              <w:bottom w:val="single" w:sz="5" w:space="0" w:color="000000"/>
              <w:right w:val="single" w:sz="4" w:space="0" w:color="auto"/>
            </w:tcBorders>
            <w:shd w:val="clear" w:color="auto" w:fill="auto"/>
            <w:vAlign w:val="center"/>
          </w:tcPr>
          <w:p w:rsidR="00C44FBE" w:rsidRPr="00951D02" w:rsidRDefault="00C44FBE" w:rsidP="00A83627">
            <w:pPr>
              <w:widowControl w:val="0"/>
              <w:spacing w:before="32" w:after="0" w:line="240" w:lineRule="auto"/>
              <w:ind w:left="64" w:right="-20"/>
              <w:jc w:val="center"/>
              <w:rPr>
                <w:rFonts w:ascii="Times New Roman" w:hAnsi="Times New Roman"/>
                <w:color w:val="000000"/>
                <w:sz w:val="16"/>
                <w:szCs w:val="16"/>
                <w:lang w:val="en-US"/>
              </w:rPr>
            </w:pPr>
          </w:p>
        </w:tc>
        <w:tc>
          <w:tcPr>
            <w:tcW w:w="419" w:type="pct"/>
            <w:tcBorders>
              <w:top w:val="single" w:sz="5" w:space="0" w:color="000000"/>
              <w:left w:val="single" w:sz="4" w:space="0" w:color="auto"/>
              <w:bottom w:val="single" w:sz="5" w:space="0" w:color="000000"/>
              <w:right w:val="single" w:sz="5" w:space="0" w:color="000000"/>
            </w:tcBorders>
            <w:shd w:val="clear" w:color="auto" w:fill="auto"/>
            <w:vAlign w:val="center"/>
          </w:tcPr>
          <w:p w:rsidR="00C44FBE" w:rsidRPr="00951D02" w:rsidRDefault="00C44FBE" w:rsidP="00A83627">
            <w:pPr>
              <w:pStyle w:val="TableParagraph"/>
              <w:jc w:val="center"/>
              <w:rPr>
                <w:rFonts w:ascii="Times New Roman" w:hAnsi="Times New Roman"/>
                <w:color w:val="000000"/>
                <w:sz w:val="16"/>
                <w:szCs w:val="16"/>
              </w:rPr>
            </w:pPr>
          </w:p>
        </w:tc>
        <w:tc>
          <w:tcPr>
            <w:tcW w:w="697"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pStyle w:val="TableParagraph"/>
              <w:jc w:val="center"/>
              <w:rPr>
                <w:rFonts w:ascii="Times New Roman" w:hAnsi="Times New Roman"/>
                <w:color w:val="000000"/>
                <w:sz w:val="16"/>
                <w:szCs w:val="16"/>
                <w:lang w:val="uk-UA"/>
              </w:rPr>
            </w:pPr>
          </w:p>
        </w:tc>
        <w:tc>
          <w:tcPr>
            <w:tcW w:w="463" w:type="pct"/>
            <w:tcBorders>
              <w:top w:val="single" w:sz="5" w:space="0" w:color="000000"/>
              <w:left w:val="single" w:sz="5" w:space="0" w:color="000000"/>
              <w:bottom w:val="single" w:sz="5" w:space="0" w:color="000000"/>
              <w:right w:val="single" w:sz="5" w:space="0" w:color="000000"/>
            </w:tcBorders>
            <w:shd w:val="clear" w:color="auto" w:fill="auto"/>
            <w:vAlign w:val="center"/>
          </w:tcPr>
          <w:p w:rsidR="00C44FBE" w:rsidRPr="00951D02" w:rsidRDefault="00C44FBE" w:rsidP="00A83627">
            <w:pPr>
              <w:pStyle w:val="TableParagraph"/>
              <w:jc w:val="center"/>
              <w:rPr>
                <w:rFonts w:ascii="Times New Roman" w:hAnsi="Times New Roman"/>
                <w:color w:val="000000"/>
                <w:sz w:val="16"/>
                <w:szCs w:val="16"/>
              </w:rPr>
            </w:pPr>
          </w:p>
        </w:tc>
      </w:tr>
      <w:tr w:rsidR="00C44FBE" w:rsidRPr="00951D02" w:rsidTr="00C44FBE">
        <w:trPr>
          <w:trHeight w:val="20"/>
        </w:trPr>
        <w:tc>
          <w:tcPr>
            <w:tcW w:w="376"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widowControl w:val="0"/>
              <w:spacing w:after="0" w:line="240" w:lineRule="auto"/>
              <w:jc w:val="center"/>
              <w:rPr>
                <w:rFonts w:ascii="Times New Roman" w:hAnsi="Times New Roman"/>
                <w:sz w:val="16"/>
                <w:szCs w:val="16"/>
                <w:lang w:val="en-US"/>
              </w:rPr>
            </w:pPr>
          </w:p>
        </w:tc>
        <w:tc>
          <w:tcPr>
            <w:tcW w:w="2626"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19"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419"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widowControl w:val="0"/>
              <w:spacing w:after="0" w:line="240" w:lineRule="auto"/>
              <w:jc w:val="center"/>
              <w:rPr>
                <w:rFonts w:ascii="Times New Roman" w:hAnsi="Times New Roman"/>
                <w:color w:val="FF0000"/>
                <w:sz w:val="16"/>
                <w:szCs w:val="16"/>
                <w:lang w:val="en-US"/>
              </w:rPr>
            </w:pPr>
          </w:p>
        </w:tc>
        <w:tc>
          <w:tcPr>
            <w:tcW w:w="697"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widowControl w:val="0"/>
              <w:spacing w:after="0" w:line="240" w:lineRule="auto"/>
              <w:jc w:val="center"/>
              <w:rPr>
                <w:rFonts w:ascii="Times New Roman" w:hAnsi="Times New Roman"/>
                <w:sz w:val="16"/>
                <w:szCs w:val="16"/>
                <w:lang w:val="en-US"/>
              </w:rPr>
            </w:pPr>
          </w:p>
        </w:tc>
        <w:tc>
          <w:tcPr>
            <w:tcW w:w="463"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widowControl w:val="0"/>
              <w:spacing w:after="0" w:line="240" w:lineRule="auto"/>
              <w:jc w:val="center"/>
              <w:rPr>
                <w:rFonts w:ascii="Times New Roman" w:hAnsi="Times New Roman"/>
                <w:sz w:val="16"/>
                <w:szCs w:val="16"/>
                <w:lang w:val="en-US"/>
              </w:rPr>
            </w:pPr>
          </w:p>
        </w:tc>
      </w:tr>
      <w:tr w:rsidR="00C44FBE" w:rsidRPr="00A83627" w:rsidTr="00C44FBE">
        <w:trPr>
          <w:trHeight w:val="20"/>
        </w:trPr>
        <w:tc>
          <w:tcPr>
            <w:tcW w:w="376"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widowControl w:val="0"/>
              <w:spacing w:after="0" w:line="240" w:lineRule="auto"/>
              <w:jc w:val="center"/>
              <w:rPr>
                <w:rFonts w:ascii="Times New Roman" w:hAnsi="Times New Roman"/>
                <w:sz w:val="16"/>
                <w:szCs w:val="16"/>
                <w:lang w:val="en-US"/>
              </w:rPr>
            </w:pPr>
          </w:p>
        </w:tc>
        <w:tc>
          <w:tcPr>
            <w:tcW w:w="2626"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19"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widowControl w:val="0"/>
              <w:spacing w:after="0" w:line="240" w:lineRule="auto"/>
              <w:ind w:left="133" w:hanging="36"/>
              <w:jc w:val="center"/>
              <w:rPr>
                <w:rFonts w:ascii="Times New Roman" w:hAnsi="Times New Roman"/>
                <w:sz w:val="16"/>
                <w:szCs w:val="16"/>
                <w:lang w:val="en-US"/>
              </w:rPr>
            </w:pPr>
          </w:p>
        </w:tc>
        <w:tc>
          <w:tcPr>
            <w:tcW w:w="419"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697" w:type="pct"/>
            <w:tcBorders>
              <w:top w:val="single" w:sz="5" w:space="0" w:color="000000"/>
              <w:left w:val="single" w:sz="5" w:space="0" w:color="000000"/>
              <w:bottom w:val="single" w:sz="5" w:space="0" w:color="000000"/>
              <w:right w:val="single" w:sz="5" w:space="0" w:color="000000"/>
            </w:tcBorders>
            <w:shd w:val="clear" w:color="auto" w:fill="auto"/>
          </w:tcPr>
          <w:p w:rsidR="00C44FBE" w:rsidRPr="00951D02" w:rsidRDefault="00C44FBE"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63" w:type="pct"/>
            <w:tcBorders>
              <w:top w:val="single" w:sz="5" w:space="0" w:color="000000"/>
              <w:left w:val="single" w:sz="5" w:space="0" w:color="000000"/>
              <w:bottom w:val="single" w:sz="5" w:space="0" w:color="000000"/>
              <w:right w:val="single" w:sz="5" w:space="0" w:color="000000"/>
            </w:tcBorders>
            <w:shd w:val="clear" w:color="auto" w:fill="auto"/>
          </w:tcPr>
          <w:p w:rsidR="00C44FBE" w:rsidRPr="00A83627" w:rsidRDefault="00C44FBE"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A93884" w:rsidRDefault="00151ABC" w:rsidP="00A9388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2A2431" w:rsidRPr="00A93884">
              <w:rPr>
                <w:rFonts w:ascii="Times New Roman" w:hAnsi="Times New Roman"/>
                <w:b/>
                <w:bCs/>
                <w:sz w:val="18"/>
                <w:lang w:val="uk-UA"/>
              </w:rPr>
              <w:t>#</w:t>
            </w:r>
            <w:r w:rsidR="002A2431">
              <w:rPr>
                <w:rFonts w:ascii="Times New Roman" w:hAnsi="Times New Roman"/>
                <w:b/>
                <w:bCs/>
                <w:sz w:val="18"/>
              </w:rPr>
              <w:t>TrainingDuration</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2A2431">
              <w:rPr>
                <w:rFonts w:ascii="Times New Roman" w:hAnsi="Times New Roman"/>
                <w:sz w:val="18"/>
                <w:lang w:val="uk-UA"/>
              </w:rPr>
              <w:t xml:space="preserve">. Duration of training </w:t>
            </w:r>
            <w:r w:rsidR="00A93884" w:rsidRPr="00A93884">
              <w:rPr>
                <w:rFonts w:ascii="Times New Roman" w:hAnsi="Times New Roman"/>
                <w:sz w:val="18"/>
                <w:lang w:val="uk-UA"/>
              </w:rPr>
              <w:t>#</w:t>
            </w:r>
            <w:r w:rsidR="00A93884">
              <w:rPr>
                <w:rFonts w:ascii="Times New Roman" w:hAnsi="Times New Roman"/>
                <w:sz w:val="18"/>
              </w:rPr>
              <w:t>TrainingDurationEng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254FB7" w:rsidRDefault="00151ABC" w:rsidP="00A9388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254FB7">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A9388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BF53A5">
              <w:rPr>
                <w:rFonts w:ascii="Times New Roman" w:eastAsia="Times New Roman" w:hAnsi="Times New Roman"/>
                <w:spacing w:val="-1"/>
                <w:sz w:val="16"/>
                <w:szCs w:val="16"/>
              </w:rPr>
              <w:t>#PrevoiusDiplomaDateEng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E78" w:rsidRDefault="00112E78" w:rsidP="001D0248">
      <w:pPr>
        <w:spacing w:after="0" w:line="240" w:lineRule="auto"/>
      </w:pPr>
      <w:r>
        <w:separator/>
      </w:r>
    </w:p>
  </w:endnote>
  <w:endnote w:type="continuationSeparator" w:id="1">
    <w:p w:rsidR="00112E78" w:rsidRDefault="00112E78"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17EAB" w:rsidRPr="003A4589">
      <w:rPr>
        <w:rFonts w:ascii="Times New Roman" w:hAnsi="Times New Roman"/>
        <w:sz w:val="20"/>
      </w:rPr>
      <w:fldChar w:fldCharType="begin"/>
    </w:r>
    <w:r w:rsidRPr="003A4589">
      <w:rPr>
        <w:rFonts w:ascii="Times New Roman" w:hAnsi="Times New Roman"/>
        <w:sz w:val="20"/>
      </w:rPr>
      <w:instrText>PAGE   \* MERGEFORMAT</w:instrText>
    </w:r>
    <w:r w:rsidR="00017EAB" w:rsidRPr="003A4589">
      <w:rPr>
        <w:rFonts w:ascii="Times New Roman" w:hAnsi="Times New Roman"/>
        <w:sz w:val="20"/>
      </w:rPr>
      <w:fldChar w:fldCharType="separate"/>
    </w:r>
    <w:r w:rsidR="00A93884" w:rsidRPr="00A93884">
      <w:rPr>
        <w:rFonts w:ascii="Times New Roman" w:hAnsi="Times New Roman"/>
        <w:noProof/>
        <w:sz w:val="20"/>
        <w:lang w:val="ru-RU"/>
      </w:rPr>
      <w:t>4</w:t>
    </w:r>
    <w:r w:rsidR="00017EAB"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E78" w:rsidRDefault="00112E78" w:rsidP="001D0248">
      <w:pPr>
        <w:spacing w:after="0" w:line="240" w:lineRule="auto"/>
      </w:pPr>
      <w:r>
        <w:separator/>
      </w:r>
    </w:p>
  </w:footnote>
  <w:footnote w:type="continuationSeparator" w:id="1">
    <w:p w:rsidR="00112E78" w:rsidRDefault="00112E78"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EAB"/>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E68C3"/>
    <w:rsid w:val="001F46BD"/>
    <w:rsid w:val="00200B8C"/>
    <w:rsid w:val="00230DD8"/>
    <w:rsid w:val="00242688"/>
    <w:rsid w:val="00243496"/>
    <w:rsid w:val="00254FB7"/>
    <w:rsid w:val="00260F04"/>
    <w:rsid w:val="0027221D"/>
    <w:rsid w:val="00272C83"/>
    <w:rsid w:val="00275FB4"/>
    <w:rsid w:val="00285C51"/>
    <w:rsid w:val="00287787"/>
    <w:rsid w:val="002A2431"/>
    <w:rsid w:val="002A45D7"/>
    <w:rsid w:val="002B65BE"/>
    <w:rsid w:val="002C64B2"/>
    <w:rsid w:val="002C70BF"/>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1F2D"/>
    <w:rsid w:val="0071718B"/>
    <w:rsid w:val="00717952"/>
    <w:rsid w:val="00721546"/>
    <w:rsid w:val="00727CE7"/>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90924"/>
    <w:rsid w:val="009A490B"/>
    <w:rsid w:val="009A49AB"/>
    <w:rsid w:val="009E724D"/>
    <w:rsid w:val="009F4995"/>
    <w:rsid w:val="00A12C59"/>
    <w:rsid w:val="00A15FFE"/>
    <w:rsid w:val="00A41A37"/>
    <w:rsid w:val="00A44B13"/>
    <w:rsid w:val="00A56429"/>
    <w:rsid w:val="00A57634"/>
    <w:rsid w:val="00A60869"/>
    <w:rsid w:val="00A67976"/>
    <w:rsid w:val="00A70C7C"/>
    <w:rsid w:val="00A72AB4"/>
    <w:rsid w:val="00A745D1"/>
    <w:rsid w:val="00A777AD"/>
    <w:rsid w:val="00A83627"/>
    <w:rsid w:val="00A93884"/>
    <w:rsid w:val="00AA0EF9"/>
    <w:rsid w:val="00AA37A5"/>
    <w:rsid w:val="00AA40A8"/>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44FBE"/>
    <w:rsid w:val="00C56EC7"/>
    <w:rsid w:val="00C76489"/>
    <w:rsid w:val="00C80186"/>
    <w:rsid w:val="00C9084B"/>
    <w:rsid w:val="00CC07C8"/>
    <w:rsid w:val="00CC1E16"/>
    <w:rsid w:val="00CC2DA2"/>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14882</Words>
  <Characters>8483</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59</cp:revision>
  <cp:lastPrinted>2018-04-24T12:40:00Z</cp:lastPrinted>
  <dcterms:created xsi:type="dcterms:W3CDTF">2018-05-15T19:03:00Z</dcterms:created>
  <dcterms:modified xsi:type="dcterms:W3CDTF">2018-06-18T10:16:00Z</dcterms:modified>
</cp:coreProperties>
</file>