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1C15A6" w14:textId="77777777" w:rsidR="001430A3" w:rsidRDefault="00000000">
      <w:pPr>
        <w:rPr>
          <w:rFonts w:hint="eastAsia"/>
        </w:rPr>
      </w:pPr>
      <w:r>
        <w:rPr>
          <w:b/>
          <w:color w:val="004B87"/>
          <w:sz w:val="32"/>
        </w:rPr>
        <w:t>Caso de Estudio UX/UI</w:t>
      </w:r>
      <w:r>
        <w:rPr>
          <w:b/>
          <w:color w:val="004B87"/>
          <w:sz w:val="32"/>
        </w:rPr>
        <w:br/>
        <w:t>Rediseño del sitio del MINVU: Hacer más accesible la búsqueda de subsidios habitacionales</w:t>
      </w:r>
    </w:p>
    <w:p w14:paraId="62774689" w14:textId="77777777" w:rsidR="001430A3" w:rsidRDefault="001430A3">
      <w:pPr>
        <w:rPr>
          <w:rFonts w:hint="eastAsia"/>
        </w:rPr>
      </w:pPr>
    </w:p>
    <w:p w14:paraId="14D9EFAE" w14:textId="77777777" w:rsidR="001430A3" w:rsidRDefault="00000000">
      <w:pPr>
        <w:pStyle w:val="Ttulo2"/>
      </w:pPr>
      <w:r>
        <w:t>1. Introducción</w:t>
      </w:r>
    </w:p>
    <w:p w14:paraId="07CCADFF" w14:textId="77777777" w:rsidR="001430A3" w:rsidRDefault="00000000">
      <w:pPr>
        <w:rPr>
          <w:rFonts w:hint="eastAsia"/>
        </w:rPr>
      </w:pPr>
      <w:r>
        <w:t>El sitio del MINVU reunía toda la información sobre subsidios habitacionales, pero su estructura y lenguaje dificultaban que los usuarios encontraran lo que necesitaban. Adultos mayores y personas con poca experiencia digital se enfrentaban a textos extensos, navegación confusa y términos técnicos.</w:t>
      </w:r>
      <w:r>
        <w:br/>
      </w:r>
      <w:r>
        <w:br/>
        <w:t>Desafío: ¿Cómo diseñar una experiencia más clara, empática y accesible para que cualquier persona pueda encontrar y postular al subsidio adecuado?</w:t>
      </w:r>
    </w:p>
    <w:p w14:paraId="523BC390" w14:textId="77777777" w:rsidR="001430A3" w:rsidRDefault="00000000">
      <w:pPr>
        <w:pStyle w:val="Ttulo2"/>
      </w:pPr>
      <w:r>
        <w:t>2. Rol y alcance</w:t>
      </w:r>
    </w:p>
    <w:p w14:paraId="59CA406E" w14:textId="77777777" w:rsidR="001430A3" w:rsidRDefault="00000000">
      <w:pPr>
        <w:rPr>
          <w:rFonts w:hint="eastAsia"/>
        </w:rPr>
      </w:pPr>
      <w:r>
        <w:t>Proyecto en equipo bajo la metodología Design Thinking. Mi aporte principal incluyó la evaluación heurística del sitio actual, la reorganización de la arquitectura de información, la redacción de UX Writing y la participación en testeo y análisis de resultados.</w:t>
      </w:r>
    </w:p>
    <w:p w14:paraId="3F16A2FD" w14:textId="77777777" w:rsidR="001430A3" w:rsidRDefault="00000000">
      <w:pPr>
        <w:pStyle w:val="Ttulo2"/>
      </w:pPr>
      <w:r>
        <w:t>3. Investigación e insights</w:t>
      </w:r>
    </w:p>
    <w:p w14:paraId="62779462" w14:textId="77777777" w:rsidR="001430A3" w:rsidRDefault="00000000">
      <w:pPr>
        <w:rPr>
          <w:rFonts w:hint="eastAsia"/>
        </w:rPr>
      </w:pPr>
      <w:r>
        <w:t>La evaluación heurística reveló exceso de información, lenguaje técnico y poca orientación.</w:t>
      </w:r>
      <w:r>
        <w:br/>
      </w:r>
      <w:r>
        <w:br/>
        <w:t>Insights clave:</w:t>
      </w:r>
      <w:r>
        <w:br/>
        <w:t>1. Las personas no sabían por dónde empezar.</w:t>
      </w:r>
      <w:r>
        <w:br/>
        <w:t>2. Temían equivocarse al postular.</w:t>
      </w:r>
      <w:r>
        <w:br/>
        <w:t>3. Sentían que el sitio no hablaba en su idioma.</w:t>
      </w:r>
    </w:p>
    <w:p w14:paraId="20845097" w14:textId="4CB55F64" w:rsidR="001430A3" w:rsidRDefault="00BB52C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1952A5" wp14:editId="106DEE23">
            <wp:extent cx="5486400" cy="3016961"/>
            <wp:effectExtent l="0" t="0" r="0" b="0"/>
            <wp:docPr id="256994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946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  <w:t>Evaluación heurística del sitio actual: problemas en claridad, jerarquía y lenguaje técnico.</w:t>
      </w:r>
    </w:p>
    <w:p w14:paraId="0F14744B" w14:textId="77777777" w:rsidR="001430A3" w:rsidRDefault="00000000">
      <w:pPr>
        <w:pStyle w:val="Ttulo2"/>
      </w:pPr>
      <w:r>
        <w:t>4. Ideación</w:t>
      </w:r>
    </w:p>
    <w:p w14:paraId="1EBE2702" w14:textId="77777777" w:rsidR="001430A3" w:rsidRDefault="00000000">
      <w:pPr>
        <w:rPr>
          <w:rFonts w:hint="eastAsia"/>
        </w:rPr>
      </w:pPr>
      <w:r>
        <w:t>Se propuso una estructura centrada en las necesidades del usuario:</w:t>
      </w:r>
      <w:r>
        <w:br/>
        <w:t>🏡 Quiero comprar una vivienda</w:t>
      </w:r>
      <w:r>
        <w:br/>
        <w:t>🏘️ Quiero arrendar</w:t>
      </w:r>
      <w:r>
        <w:br/>
        <w:t>🔧 Quiero mejorar mi hogar</w:t>
      </w:r>
      <w:r>
        <w:br/>
      </w:r>
      <w:r>
        <w:br/>
        <w:t>Esta organización redujo la carga cognitiva y facilitó la exploración.</w:t>
      </w:r>
    </w:p>
    <w:p w14:paraId="7FEB2F52" w14:textId="2E23C91E" w:rsidR="001430A3" w:rsidRDefault="00BB52C9">
      <w:pPr>
        <w:rPr>
          <w:rFonts w:hint="eastAsia"/>
        </w:rPr>
      </w:pPr>
      <w:r>
        <w:rPr>
          <w:noProof/>
        </w:rPr>
        <w:drawing>
          <wp:inline distT="0" distB="0" distL="0" distR="0" wp14:anchorId="2DE748D5" wp14:editId="6805DA19">
            <wp:extent cx="5486400" cy="3091454"/>
            <wp:effectExtent l="0" t="0" r="0" b="0"/>
            <wp:docPr id="1064885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852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  <w:t>Nuevo mapa centrado en las necesidades del usuario.</w:t>
      </w:r>
    </w:p>
    <w:p w14:paraId="7C835472" w14:textId="77777777" w:rsidR="001430A3" w:rsidRDefault="00000000">
      <w:pPr>
        <w:pStyle w:val="Ttulo2"/>
      </w:pPr>
      <w:r>
        <w:lastRenderedPageBreak/>
        <w:t>5. Prototipado</w:t>
      </w:r>
    </w:p>
    <w:p w14:paraId="554B9CC3" w14:textId="77777777" w:rsidR="001430A3" w:rsidRDefault="00000000">
      <w:pPr>
        <w:rPr>
          <w:rFonts w:hint="eastAsia"/>
        </w:rPr>
      </w:pPr>
      <w:r>
        <w:t>Se desarrollaron wireframes de baja fidelidad con lenguaje inclusivo y microcopys orientativos como “Descubre si puedes postular”. El prototipo en Figma consolidó una navegación clara y una jerarquía visual simple.</w:t>
      </w:r>
    </w:p>
    <w:p w14:paraId="50C9CEB6" w14:textId="5314ABEB" w:rsidR="001430A3" w:rsidRDefault="00BB52C9">
      <w:r>
        <w:rPr>
          <w:noProof/>
        </w:rPr>
        <w:drawing>
          <wp:inline distT="0" distB="0" distL="0" distR="0" wp14:anchorId="5B14372D" wp14:editId="2DE054A2">
            <wp:extent cx="5486400" cy="3087383"/>
            <wp:effectExtent l="0" t="0" r="0" b="0"/>
            <wp:docPr id="2346857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br/>
        <w:t>Wireframes de baja fidelidad con énfasis en claridad y orientación.</w:t>
      </w:r>
    </w:p>
    <w:p w14:paraId="4FDE2C1C" w14:textId="194F0CE2" w:rsidR="00BB52C9" w:rsidRDefault="00BB52C9">
      <w:pPr>
        <w:rPr>
          <w:rFonts w:hint="eastAsia"/>
        </w:rPr>
      </w:pPr>
      <w:r>
        <w:rPr>
          <w:noProof/>
        </w:rPr>
        <w:drawing>
          <wp:inline distT="0" distB="0" distL="0" distR="0" wp14:anchorId="08AE045C" wp14:editId="5E7FE899">
            <wp:extent cx="5486400" cy="3087383"/>
            <wp:effectExtent l="0" t="0" r="0" b="0"/>
            <wp:docPr id="196136845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C0F34" w14:textId="77777777" w:rsidR="001430A3" w:rsidRDefault="00000000">
      <w:pPr>
        <w:pStyle w:val="Ttulo2"/>
      </w:pPr>
      <w:r>
        <w:t>6. Validación</w:t>
      </w:r>
    </w:p>
    <w:p w14:paraId="0EB03E19" w14:textId="77777777" w:rsidR="001430A3" w:rsidRDefault="00000000">
      <w:pPr>
        <w:rPr>
          <w:rFonts w:hint="eastAsia"/>
        </w:rPr>
      </w:pPr>
      <w:r>
        <w:t>Se realizó un test de usabilidad híbrido con tareas reales. Los resultados mostraron una mejora notable en comprensión y tiempos.</w:t>
      </w:r>
      <w:r>
        <w:br/>
      </w:r>
      <w:r>
        <w:lastRenderedPageBreak/>
        <w:t>El Tree Test validó la estructura del nuevo menú, mostrando un 80% de éxito y comentarios positivos sobre la claridad de las categorías.</w:t>
      </w:r>
    </w:p>
    <w:p w14:paraId="1A4AF065" w14:textId="6E290F2E" w:rsidR="001430A3" w:rsidRDefault="00BB52C9">
      <w:r>
        <w:rPr>
          <w:noProof/>
        </w:rPr>
        <w:drawing>
          <wp:inline distT="0" distB="0" distL="0" distR="0" wp14:anchorId="383840C3" wp14:editId="4FDD2D6B">
            <wp:extent cx="5486400" cy="4159185"/>
            <wp:effectExtent l="0" t="0" r="0" b="0"/>
            <wp:docPr id="1861972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720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  <w:t>Validación de la arquitectura y mejoras tras testeo con usuarios.</w:t>
      </w:r>
    </w:p>
    <w:p w14:paraId="156EEC01" w14:textId="5B609337" w:rsidR="00BB52C9" w:rsidRDefault="00BB52C9">
      <w:r>
        <w:rPr>
          <w:noProof/>
        </w:rPr>
        <w:drawing>
          <wp:inline distT="0" distB="0" distL="0" distR="0" wp14:anchorId="22FC8F4E" wp14:editId="6E4B6BD8">
            <wp:extent cx="5486400" cy="3058553"/>
            <wp:effectExtent l="0" t="0" r="0" b="8890"/>
            <wp:docPr id="476854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544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39ED" w14:textId="28ADFA36" w:rsidR="00BB52C9" w:rsidRDefault="00BB52C9">
      <w:r>
        <w:rPr>
          <w:noProof/>
        </w:rPr>
        <w:lastRenderedPageBreak/>
        <w:drawing>
          <wp:inline distT="0" distB="0" distL="0" distR="0" wp14:anchorId="3564BD8A" wp14:editId="5F50B205">
            <wp:extent cx="5486400" cy="3087730"/>
            <wp:effectExtent l="0" t="0" r="0" b="0"/>
            <wp:docPr id="2278302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302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2417" w14:textId="77777777" w:rsidR="00BB52C9" w:rsidRPr="00346270" w:rsidRDefault="00BB52C9" w:rsidP="00BB52C9">
      <w:pPr>
        <w:spacing w:after="160" w:line="259" w:lineRule="auto"/>
      </w:pPr>
      <w:r w:rsidRPr="00C00670">
        <w:t>El Tree Test permitió validar la estructura del nuevo menú y comprobar si los usuarios podían encontrar la información adecuada.</w:t>
      </w:r>
      <w:r w:rsidRPr="00C00670">
        <w:br/>
        <w:t xml:space="preserve">Los resultados mostraron una mejora significativa en la orientación general, con un </w:t>
      </w:r>
      <w:r w:rsidRPr="00C00670">
        <w:rPr>
          <w:b/>
          <w:bCs/>
        </w:rPr>
        <w:t>80% de éxito</w:t>
      </w:r>
      <w:r w:rsidRPr="00C00670">
        <w:t xml:space="preserve"> en la navegación y comentarios positivos sobre la claridad de las categorías</w:t>
      </w:r>
    </w:p>
    <w:p w14:paraId="1A5A7DC1" w14:textId="77777777" w:rsidR="00BB52C9" w:rsidRDefault="00BB52C9">
      <w:pPr>
        <w:rPr>
          <w:rFonts w:hint="eastAsia"/>
        </w:rPr>
      </w:pPr>
    </w:p>
    <w:p w14:paraId="47F505B8" w14:textId="77777777" w:rsidR="001430A3" w:rsidRDefault="00000000">
      <w:pPr>
        <w:pStyle w:val="Ttulo2"/>
      </w:pPr>
      <w:r>
        <w:t>7. Diseño final</w:t>
      </w:r>
    </w:p>
    <w:p w14:paraId="1DE93212" w14:textId="77777777" w:rsidR="001430A3" w:rsidRDefault="00000000">
      <w:pPr>
        <w:rPr>
          <w:rFonts w:hint="eastAsia"/>
        </w:rPr>
      </w:pPr>
      <w:r>
        <w:t>El nuevo diseño equilibra la identidad institucional con una interfaz moderna y accesible.</w:t>
      </w:r>
      <w:r>
        <w:br/>
      </w:r>
      <w:r>
        <w:br/>
        <w:t>Elementos destacados:</w:t>
      </w:r>
      <w:r>
        <w:br/>
        <w:t>- Paleta azul MINVU y tonos neutros.</w:t>
      </w:r>
      <w:r>
        <w:br/>
        <w:t>- Tipografía Inter.</w:t>
      </w:r>
      <w:r>
        <w:br/>
        <w:t>- Estructura modular y jerarquía visual.</w:t>
      </w:r>
      <w:r>
        <w:br/>
        <w:t>- Buscador y filtros inteligentes.</w:t>
      </w:r>
    </w:p>
    <w:p w14:paraId="1632A84B" w14:textId="6EE7F0C6" w:rsidR="001430A3" w:rsidRDefault="00BB52C9">
      <w:r>
        <w:rPr>
          <w:noProof/>
        </w:rPr>
        <w:lastRenderedPageBreak/>
        <w:drawing>
          <wp:inline distT="0" distB="0" distL="0" distR="0" wp14:anchorId="530CCE58" wp14:editId="772AD6AC">
            <wp:extent cx="5486400" cy="3099524"/>
            <wp:effectExtent l="0" t="0" r="0" b="5715"/>
            <wp:docPr id="1233024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242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  <w:t>Prototipo final en Figma: interfaz moderna y accesible.</w:t>
      </w:r>
    </w:p>
    <w:p w14:paraId="72D70D40" w14:textId="3F2442AA" w:rsidR="00BB52C9" w:rsidRDefault="00BB52C9">
      <w:pPr>
        <w:rPr>
          <w:rFonts w:hint="eastAsia"/>
        </w:rPr>
      </w:pPr>
      <w:r>
        <w:rPr>
          <w:noProof/>
        </w:rPr>
        <w:drawing>
          <wp:inline distT="0" distB="0" distL="0" distR="0" wp14:anchorId="6D1E5BAE" wp14:editId="4A217309">
            <wp:extent cx="5486400" cy="3059174"/>
            <wp:effectExtent l="0" t="0" r="0" b="8255"/>
            <wp:docPr id="12925978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978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113A" w14:textId="77777777" w:rsidR="001430A3" w:rsidRDefault="00000000">
      <w:pPr>
        <w:pStyle w:val="Ttulo2"/>
      </w:pPr>
      <w:r>
        <w:t>8. Resultados y aprendizajes</w:t>
      </w:r>
    </w:p>
    <w:p w14:paraId="2FF49897" w14:textId="77777777" w:rsidR="001430A3" w:rsidRDefault="00000000">
      <w:pPr>
        <w:rPr>
          <w:rFonts w:hint="eastAsia"/>
        </w:rPr>
      </w:pPr>
      <w:r>
        <w:t>El proceso permitió vivir un ciclo completo de diseño UX/UI, desde la detección del problema hasta la validación con usuarios. Aprendí a conectar contenido, estructura y empatía, entendiendo que diseñar no siempre es agregar más, sino simplificar con propósito.</w:t>
      </w:r>
    </w:p>
    <w:p w14:paraId="558EAD60" w14:textId="77777777" w:rsidR="001430A3" w:rsidRDefault="00000000">
      <w:pPr>
        <w:rPr>
          <w:rFonts w:hint="eastAsia"/>
        </w:rPr>
      </w:pPr>
      <w:r>
        <w:t>💡 “Diseñar no siempre es agregar más, sino simplificar con empatía. La accesibilidad comienza cuando una persona entiende lo que está viendo.”</w:t>
      </w:r>
    </w:p>
    <w:sectPr w:rsidR="001430A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20823817">
    <w:abstractNumId w:val="8"/>
  </w:num>
  <w:num w:numId="2" w16cid:durableId="157503235">
    <w:abstractNumId w:val="6"/>
  </w:num>
  <w:num w:numId="3" w16cid:durableId="1407722586">
    <w:abstractNumId w:val="5"/>
  </w:num>
  <w:num w:numId="4" w16cid:durableId="1604334895">
    <w:abstractNumId w:val="4"/>
  </w:num>
  <w:num w:numId="5" w16cid:durableId="977303586">
    <w:abstractNumId w:val="7"/>
  </w:num>
  <w:num w:numId="6" w16cid:durableId="201333652">
    <w:abstractNumId w:val="3"/>
  </w:num>
  <w:num w:numId="7" w16cid:durableId="900753274">
    <w:abstractNumId w:val="2"/>
  </w:num>
  <w:num w:numId="8" w16cid:durableId="1560288105">
    <w:abstractNumId w:val="1"/>
  </w:num>
  <w:num w:numId="9" w16cid:durableId="1443450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430A3"/>
    <w:rsid w:val="0015074B"/>
    <w:rsid w:val="0029639D"/>
    <w:rsid w:val="00326F90"/>
    <w:rsid w:val="004721BF"/>
    <w:rsid w:val="00AA1D8D"/>
    <w:rsid w:val="00B47730"/>
    <w:rsid w:val="00BB52C9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6C5E14D1"/>
  <w14:defaultImageDpi w14:val="300"/>
  <w15:docId w15:val="{0FAB66C0-A207-4B3F-8150-B4B3CFACB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Inter" w:hAnsi="Inter"/>
    </w:rPr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494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3211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HP</cp:lastModifiedBy>
  <cp:revision>2</cp:revision>
  <dcterms:created xsi:type="dcterms:W3CDTF">2013-12-23T23:15:00Z</dcterms:created>
  <dcterms:modified xsi:type="dcterms:W3CDTF">2025-10-23T15:39:00Z</dcterms:modified>
  <cp:category/>
</cp:coreProperties>
</file>