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sidR="00744971" w:rsidRPr="00E437F6" w:rsidRDefault="00030524" w:rsidP="00F97C84">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szCs w:val="28"/>
          <w:lang w:eastAsia="zh-CN"/>
        </w:rPr>
      </w:pPr>
      <w:r w:rsidRPr="00E437F6">
        <w:rPr>
          <w:rFonts w:eastAsia="DengXian"/>
          <w:szCs w:val="28"/>
          <w:lang w:eastAsia="zh-CN"/>
        </w:rPr>
        <w:t>HỌC VIỆN CHÍNH TRỊ QUỐC GIA HỒ CHÍ MINH</w:t>
      </w: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Cs w:val="28"/>
          <w:lang w:eastAsia="zh-CN"/>
        </w:rPr>
      </w:pPr>
      <w:r w:rsidRPr="00E437F6">
        <w:rPr>
          <w:rFonts w:eastAsia="DengXian"/>
          <w:b/>
          <w:bCs/>
          <w:szCs w:val="28"/>
          <w:lang w:eastAsia="zh-CN"/>
        </w:rPr>
        <w:t>HỌC VIỆN HÀNH CHÍNH VÀ QUẢN TRỊ CÔNG</w:t>
      </w: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6FCCB530" wp14:editId="1B4FEE12">
            <wp:simplePos x="0" y="0"/>
            <wp:positionH relativeFrom="column">
              <wp:posOffset>1216025</wp:posOffset>
            </wp:positionH>
            <wp:positionV relativeFrom="paragraph">
              <wp:posOffset>320675</wp:posOffset>
            </wp:positionV>
            <wp:extent cx="3362325" cy="965835"/>
            <wp:effectExtent l="0" t="0" r="9525" b="5715"/>
            <wp:wrapNone/>
            <wp:docPr id="9580900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TÊN ĐỀ TÀI:</w:t>
      </w: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b/>
          <w:bCs/>
          <w:sz w:val="40"/>
          <w:szCs w:val="40"/>
          <w:lang w:val="en-US"/>
        </w:rPr>
      </w:pP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 w:val="40"/>
          <w:szCs w:val="40"/>
          <w:lang w:eastAsia="zh-CN"/>
        </w:rPr>
      </w:pPr>
      <w:r w:rsidRPr="00E437F6">
        <w:rPr>
          <w:b/>
          <w:bCs/>
          <w:sz w:val="40"/>
          <w:szCs w:val="40"/>
          <w:lang w:val="en-US"/>
        </w:rPr>
        <w:t>PHÂN TÍCH VÀ THIẾT KẾ HỆ THỐNG THÔNG TIN ĐÁNH GIÁ HIỆU QUẢ CÔNG VIỆC (KPI) CHO KHỐI DOANH NGHIỆP VÀ CƠ QUAN NHÀ NƯỚC</w:t>
      </w: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w:t>
      </w: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BÀI TẬP LỚN KẾT THÚC HỌC PHẦN</w:t>
      </w: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pos="3686"/>
        </w:tabs>
        <w:spacing w:line="240" w:lineRule="auto"/>
        <w:ind w:firstLine="1890"/>
        <w:rPr>
          <w:rFonts w:eastAsia="DengXian"/>
          <w:b/>
          <w:szCs w:val="28"/>
          <w:lang w:eastAsia="zh-CN"/>
        </w:rPr>
      </w:pPr>
      <w:r w:rsidRPr="00E437F6">
        <w:rPr>
          <w:rFonts w:eastAsia="DengXian"/>
          <w:b/>
          <w:szCs w:val="28"/>
          <w:lang w:eastAsia="zh-CN"/>
        </w:rPr>
        <w:t>Học phần: Hệ thống thông tin tác nghiệp</w:t>
      </w:r>
    </w:p>
    <w:p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spacing w:line="240" w:lineRule="auto"/>
        <w:ind w:firstLine="1890"/>
        <w:rPr>
          <w:b/>
          <w:szCs w:val="28"/>
        </w:rPr>
      </w:pPr>
      <w:r w:rsidRPr="00E437F6">
        <w:rPr>
          <w:b/>
          <w:szCs w:val="28"/>
        </w:rPr>
        <w:t>Mã phách:</w:t>
      </w:r>
      <w:r w:rsidRPr="00E437F6">
        <w:rPr>
          <w:b/>
          <w:szCs w:val="28"/>
        </w:rPr>
        <w:tab/>
      </w: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jc w:val="center"/>
        <w:rPr>
          <w:rFonts w:eastAsia="DengXian"/>
          <w:szCs w:val="28"/>
          <w:lang w:eastAsia="zh-CN"/>
        </w:rPr>
      </w:pPr>
      <w:r w:rsidRPr="00E437F6">
        <w:rPr>
          <w:rFonts w:eastAsia="DengXian"/>
          <w:b/>
          <w:szCs w:val="28"/>
          <w:lang w:eastAsia="zh-CN"/>
        </w:rPr>
        <w:t>Hà Nội - 2026</w:t>
      </w:r>
    </w:p>
    <w:p w:rsidR="00744971" w:rsidRPr="00E437F6" w:rsidRDefault="00744971" w:rsidP="004F6C4E">
      <w:pPr>
        <w:spacing w:line="240" w:lineRule="auto"/>
        <w:rPr>
          <w:b/>
          <w:bCs/>
          <w:szCs w:val="28"/>
        </w:rPr>
        <w:sectPr w:rsidR="00744971" w:rsidRPr="00E437F6" w:rsidSect="00E11FF6">
          <w:pgSz w:w="11906" w:h="16838" w:code="9"/>
          <w:pgMar w:top="1134" w:right="1134" w:bottom="1134" w:left="1701" w:header="709" w:footer="709" w:gutter="0"/>
          <w:cols w:space="720"/>
          <w:docGrid w:linePitch="360"/>
        </w:sectPr>
      </w:pPr>
    </w:p>
    <w:p>
      <w:pPr>
        <w:spacing w:after="180" w:before="240"/>
        <w:jc w:val="center"/>
      </w:pPr>
      <w:r>
        <w:rPr>
          <w:rFonts w:ascii="Times New Roman" w:cs="Times New Roman" w:eastAsia="Times New Roman" w:hAnsi="Times New Roman"/>
          <w:b/>
          <w:bCs/>
          <w:color w:val="000000"/>
          <w:sz w:val="30"/>
          <w:szCs w:val="30"/>
        </w:rPr>
        <w:t xml:space="preserve">LỜI CẢM ƠN</w:t>
      </w:r>
    </w:p>
    <w:p>
      <w:pPr>
        <w:spacing w:after="120" w:before="0" w:line="312"/>
        <w:jc w:val="both"/>
      </w:pPr>
      <w:r>
        <w:rPr>
          <w:rFonts w:ascii="Times New Roman" w:cs="Times New Roman" w:eastAsia="Times New Roman" w:hAnsi="Times New Roman"/>
          <w:b/>
          <w:bCs/>
          <w:i w:val="false"/>
          <w:iCs w:val="false"/>
          <w:color w:val="000000"/>
          <w:sz w:val="26"/>
          <w:szCs w:val="26"/>
        </w:rPr>
        <w:t xml:space="preserve">Kính gửi: </w:t>
      </w:r>
    </w:p>
    <w:p>
      <w:pPr>
        <w:spacing w:after="120" w:before="0" w:line="312"/>
        <w:ind w:firstLine="450"/>
        <w:jc w:val="both"/>
      </w:pPr>
      <w:r>
        <w:rPr>
          <w:rFonts w:ascii="Times New Roman" w:cs="Times New Roman" w:eastAsia="Times New Roman" w:hAnsi="Times New Roman"/>
          <w:b/>
          <w:bCs/>
          <w:i w:val="false"/>
          <w:iCs w:val="false"/>
          <w:color w:val="000000"/>
          <w:sz w:val="26"/>
          <w:szCs w:val="26"/>
        </w:rPr>
        <w:t xml:space="preserve">Lãnh đạo Khoa Khoa học Liên ngành - Ngoại ngữ - Tin học; </w:t>
      </w:r>
    </w:p>
    <w:p>
      <w:pPr>
        <w:spacing w:after="120" w:before="0" w:line="312"/>
        <w:ind w:firstLine="450"/>
        <w:jc w:val="both"/>
      </w:pPr>
      <w:r>
        <w:rPr>
          <w:rFonts w:ascii="Times New Roman" w:cs="Times New Roman" w:eastAsia="Times New Roman" w:hAnsi="Times New Roman"/>
          <w:b/>
          <w:bCs/>
          <w:i w:val="false"/>
          <w:iCs w:val="false"/>
          <w:color w:val="000000"/>
          <w:sz w:val="26"/>
          <w:szCs w:val="26"/>
        </w:rPr>
        <w:t>Thầy Hoàng Minh Ngọc - Giảng viên học phần Hệ thống thông tin tác nghiệp.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Để bài báo cáo bài tập lớn kết thúc học phần với đề tài "Phân tích và thiết kế hệ thống thông tin đánh giá hiệu quả công việc (KPI) cho khối doanh nghiệp và cơ quan nhà nước" được hoàn thiện một cách chỉn chu, khoa học và đạt kết quả chuyên môn cao nhất, em xin bày tỏ lòng biết ơn sâu sắc đến Thầy Hoàng Minh Ngọc. Thầy đã dành nhiều thời gian, tâm huyết để tận tình giảng dạy, truyền đạt những kiến thức chuyên môn quý báu về phương pháp phân tích thiết kế hệ thống thông tin hướng đối tượng, kiến trúc phần mềm hiện đại và phương pháp luận quản trị hiệu suất lao động, đồng thời đưa ra những định hướng xác đáng giúp em giải quyết trọn vẹn các bài toán nghiệp vụ phức tạp trong suốt quá trình nghiên cứu.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Đồng thời, em cũng xin bày tỏ lòng biết ơn chân thành đến Ban Giám hiệu cùng tập thể quý Thầy, Cô giáo tại Học viện Hành chính và Quản trị công đã không ngừng tạo dựng môi trường học thuật chất lượng cao, trang bị cơ sở vật chất hiện đại để chúng em được trau dồi tri thức, rèn luyện kỹ năng tư duy hệ thống và phương pháp luận giải quyết vấn đề thực tiễn.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nghiên cứu vừa qua.</w:t>
      </w:r>
    </w:p>
    <w:p>
      <w:pPr>
        <w:spacing w:after="120" w:before="0" w:line="312"/>
        <w:jc w:val="right"/>
      </w:pPr>
      <w:r>
        <w:rPr>
          <w:rFonts w:ascii="Times New Roman" w:cs="Times New Roman" w:eastAsia="Times New Roman" w:hAnsi="Times New Roman"/>
          <w:b w:val="false"/>
          <w:bCs w:val="false"/>
          <w:i/>
          <w:iCs/>
          <w:color w:val="000000"/>
          <w:sz w:val="26"/>
          <w:szCs w:val="26"/>
        </w:rPr>
        <w:t xml:space="preserve">Em xin chân thành cảm ơn!</w:t>
      </w:r>
    </w:p>
    <w:p>
      <w:pPr>
        <w:pageBreakBefore/>
        <w:spacing w:after="180" w:before="240"/>
        <w:jc w:val="center"/>
      </w:pPr>
      <w:r>
        <w:rPr>
          <w:rFonts w:ascii="Times New Roman" w:cs="Times New Roman" w:eastAsia="Times New Roman" w:hAnsi="Times New Roman"/>
          <w:b/>
          <w:bCs/>
          <w:color w:val="000000"/>
          <w:sz w:val="30"/>
          <w:szCs w:val="30"/>
        </w:rPr>
        <w:t xml:space="preserve">LỜI CAM ĐOAN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Em xin cam đoan rằng toàn bộ nội dung được trình bày trong bài báo cáo bài tập lớn kết thúc học phần với đề tài "Phân tích và thiết kế hệ thống thông tin đánh giá hiệu quả công việc (KPI) cho khối doanh nghiệp và cơ quan nhà nước" là công trình nghiên cứu độc lập, nghiêm túc của riêng bản thân em dưới sự hướng dẫn khoa học của Thầy Hoàng Minh Ngọc.</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Đề tài được thực hiện trên nền tảng kiến thức của học phần Hệ thống thông tin tác nghiệp, kết hợp nghiên cứu quản trị hiệu suất doanh nghiệp và căn cứ đánh giá khu vực công đang có hiệu lực năm 2026: Nghị định 335/2025/NĐ-CP đối với công chức và Nghị định 233/2026/NĐ-CP đối với viên chức. Báo cáo phân biệt phần phân tích thiết kế đề xuất với chức năng đã có trong HRMS; không coi mô hình, tích hợp hay số liệu minh họa là kết quả triển khai đã kiểm chứng.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Em xin khẳng định rằng mọi số liệu, bảng biểu, công thức toán học và kết quả phân tích trong báo cáo là trung thực, rõ ràng và có trích dẫn nguồn gốc đầy đủ theo đúng quy chuẩn học thuật. Toàn bộ 9 sơ đồ kỹ thuật UML và sơ đồ kiến trúc hệ thống đều được tự xây dựng dựa trên bài toán phân tích thiết kế thực tế của hệ thống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Em xin hoàn toàn chịu trách nhiệm trước Bộ môn, Khoa và Ban Giám hiệu Nhà trường về tính trung thực và sự chuẩn mực của nội dung được trình bày trong toàn bộ tài liệu này.</w:t>
      </w:r>
    </w:p>
    <w:p>
      <w:pPr>
        <w:spacing w:after="120" w:before="0" w:line="312"/>
        <w:jc w:val="right"/>
      </w:pPr>
      <w:r>
        <w:rPr>
          <w:rFonts w:ascii="Times New Roman" w:cs="Times New Roman" w:eastAsia="Times New Roman" w:hAnsi="Times New Roman"/>
          <w:b w:val="false"/>
          <w:bCs w:val="false"/>
          <w:i/>
          <w:iCs/>
          <w:color w:val="000000"/>
          <w:sz w:val="26"/>
          <w:szCs w:val="26"/>
        </w:rPr>
        <w:t xml:space="preserve">Em xin trân trọng cam đoan!</w:t>
      </w:r>
    </w:p>
    <w:p>
      <w:pPr>
        <w:pageBreakBefore/>
        <w:spacing w:after="180" w:before="240"/>
        <w:jc w:val="center"/>
      </w:pPr>
      <w:r>
        <w:rPr>
          <w:rFonts w:ascii="Times New Roman" w:cs="Times New Roman" w:eastAsia="Times New Roman" w:hAnsi="Times New Roman"/>
          <w:b/>
          <w:bCs/>
          <w:color w:val="000000"/>
          <w:sz w:val="30"/>
          <w:szCs w:val="30"/>
        </w:rPr>
        <w:t xml:space="preserve">MỤC LỤC</w:t>
      </w:r>
    </w:p>
    <w:p>
      <w:pPr>
        <w:spacing w:after="120" w:before="0" w:line="312"/>
        <w:jc w:val="both"/>
      </w:pPr>
      <w:r>
        <w:rPr>
          <w:rFonts w:ascii="Times New Roman" w:cs="Times New Roman" w:eastAsia="Times New Roman" w:hAnsi="Times New Roman"/>
          <w:b/>
          <w:bCs/>
          <w:i w:val="false"/>
          <w:iCs w:val="false"/>
          <w:color w:val="000000"/>
          <w:sz w:val="26"/>
          <w:szCs w:val="26"/>
        </w:rPr>
        <w:t xml:space="preserve">DANH MỤC THUẬT NGỮ VÀ TỪ VIẾT TẮT CHUYÊN MÔN</w:t>
      </w:r>
    </w:p>
    <w:p>
      <w:pPr>
        <w:spacing w:after="120" w:before="0" w:line="312"/>
        <w:jc w:val="both"/>
      </w:pPr>
      <w:r>
        <w:rPr>
          <w:rFonts w:ascii="Times New Roman" w:cs="Times New Roman" w:eastAsia="Times New Roman" w:hAnsi="Times New Roman"/>
          <w:b/>
          <w:bCs/>
          <w:i w:val="false"/>
          <w:iCs w:val="false"/>
          <w:color w:val="000000"/>
          <w:sz w:val="26"/>
          <w:szCs w:val="26"/>
        </w:rPr>
        <w:t xml:space="preserve">DANH MỤC BẢNG BIỂU VÀ SƠ ĐỒ</w:t>
      </w:r>
    </w:p>
    <w:p>
      <w:pPr>
        <w:spacing w:after="120" w:before="0" w:line="312"/>
        <w:jc w:val="both"/>
      </w:pPr>
      <w:r>
        <w:rPr>
          <w:rFonts w:ascii="Times New Roman" w:cs="Times New Roman" w:eastAsia="Times New Roman" w:hAnsi="Times New Roman"/>
          <w:b/>
          <w:bCs/>
          <w:i w:val="false"/>
          <w:iCs w:val="false"/>
          <w:color w:val="000000"/>
          <w:sz w:val="26"/>
          <w:szCs w:val="26"/>
        </w:rPr>
        <w:t xml:space="preserve">PHẦN MỞ ĐẦU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 Lý do chọn đề tài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 Mục tiêu và nhiệm vụ nghiên cứu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 Đối tượng và phạm vi nghiên cứu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4. Phương pháp nghiên cứu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5. Cấu trúc của báo cáo</w:t>
      </w:r>
    </w:p>
    <w:p>
      <w:pPr>
        <w:spacing/>
        <w:ind w:firstLine="720"/>
        <w:jc w:val="both"/>
      </w:pPr>
      <w:r>
        <w:rPr>
          <w:rFonts w:ascii="Times New Roman" w:cs="Times New Roman" w:eastAsia="Times New Roman" w:hAnsi="Times New Roman"/>
          <w:b/>
          <w:bCs/>
          <w:i w:val="false"/>
          <w:iCs w:val="false"/>
          <w:color w:val="000000"/>
          <w:sz w:val="26"/>
          <w:szCs w:val="26"/>
        </w:rPr>
        <w:t xml:space="preserve">CHƯƠNG 1: CƠ SỞ LÝ LUẬN VỀ QUẢN TRỊ HIỆU SUẤT VÀ HỆ THỐNG THÔNG TIN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1.1. Hệ thống hóa các mô hình lý thuyết quản trị hiệu suất</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1.2. Thể chế pháp lý và đặc thù quản lý chất lượng công vụ trong khu vực công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1.3. Đặc thù quản trị hiệu suất trong khối Doanh nghiệp tư nhân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1.4. Mô hình toán học và công thức tính toán chỉ số hiệu quả</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1.5. Danh mục Từ điển chỉ số hiệu quả mẫu cho các vị trí công tác tiêu biểu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Tóm tắt Chương 1</w:t>
      </w:r>
    </w:p>
    <w:p>
      <w:pPr>
        <w:spacing/>
        <w:ind w:firstLine="720"/>
        <w:jc w:val="both"/>
      </w:pPr>
      <w:r>
        <w:rPr>
          <w:rFonts w:ascii="Times New Roman" w:cs="Times New Roman" w:eastAsia="Times New Roman" w:hAnsi="Times New Roman"/>
          <w:b/>
          <w:bCs/>
          <w:i w:val="false"/>
          <w:iCs w:val="false"/>
          <w:color w:val="000000"/>
          <w:sz w:val="26"/>
          <w:szCs w:val="26"/>
        </w:rPr>
        <w:t xml:space="preserve">CHƯƠNG 2: PHÂN TÍCH VÀ THIẾT KẾ HỆ THỐNG THÔNG TIN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2.1. Phân tích các yêu cầu nghiệp vụ của hệ thống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2.2. Phân tích cấu trúc hệ thống (Biểu đồ Actor, Use Case, Gói, Lớp)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2.3. Phân tích hành vi của hệ thống (Biểu đồ Tuần tự, Hoạt động, Trạng thái)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2.4. Thiết kế hệ thống (kiến trúc đề xuất, mô hình dữ liệu 26 bảng tham khảo, ERD, Dashboard)</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Tóm tắt Chương 2</w:t>
      </w:r>
    </w:p>
    <w:p>
      <w:pPr>
        <w:spacing/>
        <w:ind w:firstLine="720"/>
        <w:jc w:val="both"/>
      </w:pPr>
      <w:r>
        <w:rPr>
          <w:rFonts w:ascii="Times New Roman" w:cs="Times New Roman" w:eastAsia="Times New Roman" w:hAnsi="Times New Roman"/>
          <w:b/>
          <w:bCs/>
          <w:i w:val="false"/>
          <w:iCs w:val="false"/>
          <w:color w:val="000000"/>
          <w:sz w:val="26"/>
          <w:szCs w:val="26"/>
        </w:rPr>
        <w:t xml:space="preserve">CHƯƠNG 3: KẾT QUẢ ĐẠT ĐƯỢC, KẾ HOẠCH TRIỂN KHAI VÀ HƯỚNG PHÁT TRIỂN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3.1. Những kết quả đạt được của đề tài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3.2. Kế hoạch triển khai hệ thống trong 16 tuần và Ma trận quản trị rủi ro</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3.3. Định hướng tích hợp công nghệ Trí tuệ nhân tạo (AI Engine Roadmap)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3.4. Khung chỉ dẫn phát triển hệ thống qua 8 phiên làm việc chuyên sâu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3.5. Đánh giá ưu điểm, hạn chế và khuyến nghị</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Tóm tắt Chương 3</w:t>
      </w:r>
    </w:p>
    <w:p>
      <w:pPr>
        <w:spacing w:after="120" w:before="0" w:line="312"/>
        <w:jc w:val="both"/>
      </w:pPr>
      <w:r>
        <w:rPr>
          <w:rFonts w:ascii="Times New Roman" w:cs="Times New Roman" w:eastAsia="Times New Roman" w:hAnsi="Times New Roman"/>
          <w:b/>
          <w:bCs/>
          <w:i w:val="false"/>
          <w:iCs w:val="false"/>
          <w:color w:val="000000"/>
          <w:sz w:val="26"/>
          <w:szCs w:val="26"/>
        </w:rPr>
        <w:t xml:space="preserve">TÀI LIỆU THAM KHẢO</w:t>
      </w:r>
    </w:p>
    <w:p>
      <w:pPr>
        <w:pageBreakBefore/>
        <w:spacing w:after="180" w:before="240"/>
        <w:jc w:val="center"/>
      </w:pPr>
      <w:r>
        <w:rPr>
          <w:rFonts w:ascii="Times New Roman" w:cs="Times New Roman" w:eastAsia="Times New Roman" w:hAnsi="Times New Roman"/>
          <w:b/>
          <w:bCs/>
          <w:color w:val="000000"/>
          <w:sz w:val="30"/>
          <w:szCs w:val="30"/>
        </w:rPr>
        <w:t xml:space="preserve">DANH MỤC THUẬT NGỮ VÀ TỪ VIẾT TẮT CHUYÊN MÔN</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Nhằm bảo đảm tính chuẩn xác và thống nhất trong toàn bộ báo cáo, các thuật ngữ quản trị và công nghệ thông tin được định nghĩa chi tiết như sau:</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271"/>
      </w:tblGrid>
      <w:tr>
        <w:trPr>
          <w:tblHeader/>
        </w:trPr>
        <w:tc>
          <w:tcPr>
            <w:tcW w:type="dxa" w:w="8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STT</w:t>
            </w:r>
          </w:p>
        </w:tc>
        <w:tc>
          <w:tcPr>
            <w:tcW w:type="dxa" w:w="2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Ký hiệu viết tắt</w:t>
            </w:r>
          </w:p>
        </w:tc>
        <w:tc>
          <w:tcPr>
            <w:tcW w:type="dxa" w:w="62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Tên gọi đầy đủ và Diễn giải nghiệp vụ</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API</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Giao diện lập trình ứng dụng phục vụ tích hợp và truyền nhận dữ liệu tự động giữa các hệ thống phần mềm.</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ASK</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Khung tiêu chuẩn đánh giá năng lực toàn diện gồm ba trục: Thái độ phẩm chất, Kỹ năng thao tác và Kiến thức chuyên môn.</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3</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BSC</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Thẻ điểm cân bằng - Mô hình quản trị chiến lược tổ chức phân rã theo bốn khía cạnh then chốt.</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4</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C&amp;B</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Bộ phận chuyên trách về chính sách tiền lương, chế độ đãi ngộ và phúc lợi nhân sự trong tổ chức.</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5</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CBCCVC</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Đội ngũ cán bộ, công chức, viên chức công tác trong hệ thống cơ quan nhà nước và đơn vị sự nghiệp công lập.</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6</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CSAT</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Chỉ số đo lường mức độ hài lòng của khách hàng hoặc người dân đối với chất lượng cung ứng dịch vụ.</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7</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DVC</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thông tin Một cửa điện tử và Cổng Dịch vụ công trực tuyến giải quyết thủ tục hành chính.</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8</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ERP</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thông tin hoạch định và quản lý nguồn lực tổng thể doanh nghiệp.</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9</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ESS</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Cổng thông tin và ứng dụng trực tuyến tự phục vụ dành riêng cho nhân viên và người lao động.</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10</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HRMS</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thông tin quản trị nguồn nhân lực tích hợp toàn diện trong tổ chức.</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11</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IDP</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Kế hoạch hành động đào tạo, bồi dưỡng và phát triển năng lực cá nhân định kỳ.</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12</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IoT</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Mạng lưới vạn vật kết nối Internet phục vụ thu thập tự động dữ liệu từ thiết bị, máy móc và cảm biến công nghiệp.</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13</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Chỉ số đánh giá hiệu quả công việc then chốt phản ánh mức độ hoàn thành các mục tiêu trọng yếu.</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14</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MES</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thông tin điều hành và giám sát quy trình sản xuất tác nghiệp tại các phân xưởng.</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15</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OEE</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Chỉ số đo lường hiệu suất thiết bị tổng thể trong dây chuyền sản xuất công nghiệp.</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16</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OKR</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Phương pháp quản trị mục tiêu và các kết quả then chốt định hướng chuyển dịch và đổi mới đột phá.</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17</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P3</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Phần lương theo hiệu suất theo chính sách doanh nghiệp; chỉ nối với KPI khi có quy chế và tích hợp riêng. HRMS hiện tại chưa tự động xuất hoặc tính P3.</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18</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PDCA</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Chu trình quản lý và cải tiến chất lượng liên tục gồm bốn bước: Lập kế hoạch, Thực hiện, Kiểm tra và Cải tiến.</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19</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PIP</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Kế hoạch hành động giám sát và hỗ trợ nâng cao hiệu suất dành cho nhân sự chưa đạt chuẩn yêu cầu.</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20</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PPH</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Sản lượng sản phẩm sản xuất chuẩn tính trên một giờ công lao động trực tiếp.</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21</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PPM</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Tỷ lệ phế phẩm trên một triệu sản phẩm xuất xưởng đo lường độ chính xác và chất lượng sản xuất.</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22</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RBAC</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Mô hình kiểm soát truy cập và ủy quyền dữ liệu dựa trên vai trò người dùng trong hệ thống.</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23</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SLA</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Cam kết chất lượng dịch vụ và thời hạn giải quyết công việc giữa các bên liên quan.</w:t>
            </w:r>
          </w:p>
        </w:tc>
      </w:tr>
    </w:tbl>
    <w:p>
      <w:pPr>
        <w:pageBreakBefore/>
        <w:spacing w:after="180" w:before="240"/>
        <w:jc w:val="center"/>
      </w:pPr>
      <w:r>
        <w:rPr>
          <w:rFonts w:ascii="Times New Roman" w:cs="Times New Roman" w:eastAsia="Times New Roman" w:hAnsi="Times New Roman"/>
          <w:b/>
          <w:bCs/>
          <w:color w:val="000000"/>
          <w:sz w:val="30"/>
          <w:szCs w:val="30"/>
        </w:rPr>
        <w:t xml:space="preserve">DANH MỤC BẢNG BIỂU VÀ SƠ ĐỒ</w:t>
      </w:r>
    </w:p>
    <w:p>
      <w:pPr>
        <w:spacing w:after="120" w:before="0" w:line="312"/>
        <w:jc w:val="both"/>
      </w:pPr>
      <w:r>
        <w:rPr>
          <w:rFonts w:ascii="Times New Roman" w:cs="Times New Roman" w:eastAsia="Times New Roman" w:hAnsi="Times New Roman"/>
          <w:b/>
          <w:bCs/>
          <w:i w:val="false"/>
          <w:iCs w:val="false"/>
          <w:color w:val="000000"/>
          <w:sz w:val="26"/>
          <w:szCs w:val="26"/>
        </w:rPr>
        <w:t xml:space="preserve">DANH MỤC BẢNG BIỂU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1.1: Bảng so sánh chuyên sâu giữa hai phương pháp quản trị hiệu suất BSC-KPI và OKR</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Bảng 1.2: Khung chấm điểm và xếp loại công chức, viên chức theo quy định áp dụng năm 2026</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1.3: So sánh đặc thù quản trị hiệu suất giữa Khối Cơ quan Nhà nước và Khối Doanh nghiệp tư nhân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1.4: Từ điển chỉ số KPI mẫu cho vị trí Trưởng phòng Kinh doanh / Chuyên viên Bán hàng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Bảng 1.5: Ví dụ bộ tiêu chí khu vực công theo khung 30/70 năm 2026</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Bảng 2.1: Mô hình dữ liệu 26 bảng đề xuất, không phải lược đồ HRMS hiện tại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3.1: Kế hoạch phân bổ tiến độ triển khai hệ thống thông tin trong 16 tuần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3.2: Ma trận nhận diện, phân tích tác động và biện pháp quản trị rủi ro triển khai hệ thống</w:t>
      </w:r>
    </w:p>
    <w:p>
      <w:pPr>
        <w:spacing w:after="120" w:before="0" w:line="312"/>
        <w:jc w:val="both"/>
      </w:pPr>
      <w:r>
        <w:rPr>
          <w:rFonts w:ascii="Times New Roman" w:cs="Times New Roman" w:eastAsia="Times New Roman" w:hAnsi="Times New Roman"/>
          <w:b/>
          <w:bCs/>
          <w:i w:val="false"/>
          <w:iCs w:val="false"/>
          <w:color w:val="000000"/>
          <w:sz w:val="26"/>
          <w:szCs w:val="26"/>
        </w:rPr>
        <w:t xml:space="preserve">DANH MỤC SƠ ĐỒ KỸ THUẬT VÀ HÌNH VẼ MINH HỌA</w:t>
      </w:r>
    </w:p>
    <w:p>
      <w:pPr>
        <w:spacing w:after="120" w:before="0" w:line="312"/>
        <w:ind w:firstLine="450"/>
        <w:jc w:val="both"/>
      </w:pPr>
      <w:r>
        <w:t>Hình 2.1: Sơ đồ phân cấp tác nhân tham gia đánh giá</w:t>
      </w:r>
    </w:p>
    <w:p>
      <w:pPr>
        <w:spacing w:after="120" w:before="0" w:line="312"/>
        <w:ind w:firstLine="450"/>
        <w:jc w:val="both"/>
      </w:pPr>
      <w:r>
        <w:t>Hình 2.2: Biểu đồ Use Case tổng quan đánh giá hiệu quả công việc</w:t>
      </w:r>
    </w:p>
    <w:p>
      <w:pPr>
        <w:spacing w:after="120" w:before="0" w:line="312"/>
        <w:ind w:firstLine="450"/>
        <w:jc w:val="both"/>
      </w:pPr>
      <w:r>
        <w:t>Hình 2.3: Sơ đồ gói nghiệp vụ đánh giá KPI (UML Package Diagram)</w:t>
      </w:r>
    </w:p>
    <w:p>
      <w:pPr>
        <w:spacing w:after="120" w:before="0" w:line="312"/>
        <w:ind w:firstLine="450"/>
        <w:jc w:val="both"/>
      </w:pPr>
      <w:r>
        <w:t>Hình 2.4: Sơ đồ lớp rút gọn theo mô hình dữ liệu HRMS</w:t>
      </w:r>
    </w:p>
    <w:p>
      <w:pPr>
        <w:spacing w:after="120" w:before="0" w:line="312"/>
        <w:ind w:firstLine="450"/>
        <w:jc w:val="both"/>
      </w:pPr>
      <w:r>
        <w:t>Hình 2.5: Biểu đồ tuần tự tự đánh giá, phản hồi và tính điểm doanh nghiệp</w:t>
      </w:r>
    </w:p>
    <w:p>
      <w:pPr>
        <w:spacing w:after="120" w:before="0" w:line="312"/>
        <w:ind w:firstLine="450"/>
        <w:jc w:val="both"/>
      </w:pPr>
      <w:r>
        <w:t>Hình 2.6: Quy trình đánh giá khu vực công theo căn cứ áp dụng năm 2026</w:t>
      </w:r>
    </w:p>
    <w:p>
      <w:pPr>
        <w:spacing w:after="120" w:before="0" w:line="312"/>
        <w:ind w:firstLine="450"/>
        <w:jc w:val="both"/>
      </w:pPr>
      <w:r>
        <w:t>Hình 2.7: Biểu đồ trạng thái chu kỳ đánh giá HRMS hiện tại</w:t>
      </w:r>
    </w:p>
    <w:p>
      <w:pPr>
        <w:spacing w:after="120" w:before="0" w:line="312"/>
        <w:ind w:firstLine="450"/>
        <w:jc w:val="both"/>
      </w:pPr>
      <w:r>
        <w:t>Hình 2.8: Kiến trúc HRMS hiện tại và điểm tích hợp đề xuất</w:t>
      </w:r>
    </w:p>
    <w:p>
      <w:pPr>
        <w:spacing w:after="120" w:before="0" w:line="312"/>
        <w:ind w:firstLine="450"/>
        <w:jc w:val="both"/>
      </w:pPr>
      <w:r>
        <w:t>Hình 2.9: ERD rút gọn cho phân hệ đánh giá HRMS</w:t>
      </w:r>
    </w:p>
    <w:p>
      <w:pPr>
        <w:pageBreakBefore/>
        <w:spacing w:after="180" w:before="240"/>
        <w:jc w:val="center"/>
      </w:pPr>
      <w:r>
        <w:rPr>
          <w:rFonts w:ascii="Times New Roman" w:cs="Times New Roman" w:eastAsia="Times New Roman" w:hAnsi="Times New Roman"/>
          <w:b/>
          <w:bCs/>
          <w:color w:val="000000"/>
          <w:sz w:val="30"/>
          <w:szCs w:val="30"/>
        </w:rPr>
        <w:t xml:space="preserve">PHẦN MỞ ĐẦU</w:t>
      </w:r>
    </w:p>
    <w:p>
      <w:pPr>
        <w:pStyle w:val="Heading1"/>
        <w:spacing w:after="100" w:before="240"/>
        <w:jc w:val="left"/>
      </w:pPr>
      <w:r>
        <w:rPr>
          <w:rFonts w:ascii="Times New Roman" w:cs="Times New Roman" w:eastAsia="Times New Roman" w:hAnsi="Times New Roman"/>
          <w:b/>
          <w:bCs/>
          <w:color w:val="000000"/>
          <w:sz w:val="28"/>
          <w:szCs w:val="28"/>
        </w:rPr>
        <w:t xml:space="preserve">1. Lý do chọn đề tài</w:t>
      </w:r>
    </w:p>
    <w:p>
      <w:pPr>
        <w:spacing/>
        <w:ind w:firstLine="720"/>
        <w:jc w:val="both"/>
      </w:pPr>
      <w:r>
        <w:rPr>
          <w:rFonts w:ascii="Times New Roman" w:cs="Times New Roman" w:eastAsia="Times New Roman" w:hAnsi="Times New Roman"/>
          <w:b w:val="false"/>
          <w:bCs w:val="false"/>
          <w:i w:val="false"/>
          <w:iCs w:val="false"/>
          <w:color w:val="000000"/>
          <w:sz w:val="26"/>
          <w:szCs w:val="26"/>
        </w:rPr>
        <w:t>Trong doanh nghiệp, KPI/BSC giúp chuyển mục tiêu kinh doanh thành kết quả có thể đo theo vai trò, bộ phận và chu kỳ. Doanh nghiệp có thể dùng kết quả KPI như một căn cứ cho chính sách hiệu suất P3 nếu đã ban hành quy chế, thang trả lương và quy trình phê duyệt riêng. HRMS hiện tại chưa tự kết nối điểm KPI sang tính lương hoặc xuất P3; báo cáo này xem đó là hướng tích hợp đề xuất.</w:t>
      </w:r>
    </w:p>
    <w:p>
      <w:pPr>
        <w:spacing/>
        <w:ind w:firstLine="720"/>
        <w:jc w:val="both"/>
      </w:pPr>
      <w:r>
        <w:rPr>
          <w:rFonts w:ascii="Times New Roman" w:cs="Times New Roman" w:eastAsia="Times New Roman" w:hAnsi="Times New Roman"/>
          <w:b w:val="false"/>
          <w:bCs w:val="false"/>
          <w:i w:val="false"/>
          <w:iCs w:val="false"/>
          <w:color w:val="000000"/>
          <w:sz w:val="26"/>
          <w:szCs w:val="26"/>
        </w:rPr>
        <w:t>Khu vực công áp dụng khung riêng theo đối tượng: công chức tại cơ quan hành chính theo Nghị định 335/2025/NĐ-CP (hiệu lực từ 01/01/2026) và viên chức tại đơn vị sự nghiệp công lập theo Nghị định 233/2026/NĐ-CP (hiệu lực từ 01/07/2026). Hai nghị định quy định khung điểm, điều kiện xếp loại và tỷ lệ xuất sắc trong phạm vi công vụ; các tỷ lệ này tuyệt đối không áp vào doanh nghiệp. Kết luận 14-KL/TW không tự tạo điểm cộng hay miễn trừ tự động; tình huống cụ thể phải do cấp có thẩm quyền xem xét.</w:t>
      </w:r>
    </w:p>
    <w:p>
      <w:pPr>
        <w:spacing/>
        <w:ind w:firstLine="720"/>
        <w:jc w:val="both"/>
      </w:pPr>
      <w:r>
        <w:rPr>
          <w:rFonts w:ascii="Times New Roman" w:cs="Times New Roman" w:eastAsia="Times New Roman" w:hAnsi="Times New Roman"/>
          <w:b w:val="false"/>
          <w:bCs w:val="false"/>
          <w:i w:val="false"/>
          <w:iCs w:val="false"/>
          <w:color w:val="000000"/>
          <w:sz w:val="26"/>
          <w:szCs w:val="26"/>
        </w:rPr>
        <w:t>Thực tế đặt ra yêu cầu minh bạch hóa mục tiêu, căn cứ và quy trình đánh giá. Đề tài phân tích và thiết kế một giải pháp tác nghiệp tham khảo cho hai chế độ tổ chức; đây là hồ sơ đề xuất, không phải khẳng định đã xây dựng xong một sản phẩm độc lập hay đã triển khai tại doanh nghiệp/cơ quan cụ thể.</w:t>
      </w:r>
    </w:p>
    <w:p>
      <w:pPr>
        <w:pStyle w:val="Heading1"/>
        <w:spacing w:after="100" w:before="240"/>
        <w:jc w:val="left"/>
      </w:pPr>
      <w:r>
        <w:rPr>
          <w:rFonts w:ascii="Times New Roman" w:cs="Times New Roman" w:eastAsia="Times New Roman" w:hAnsi="Times New Roman"/>
          <w:b/>
          <w:bCs/>
          <w:color w:val="000000"/>
          <w:sz w:val="28"/>
          <w:szCs w:val="28"/>
        </w:rPr>
        <w:t xml:space="preserve">2. Mục tiêu và nhiệm vụ nghiên cứu</w:t>
      </w:r>
    </w:p>
    <w:p>
      <w:pPr>
        <w:spacing/>
        <w:ind w:firstLine="720"/>
        <w:jc w:val="both"/>
      </w:pPr>
      <w:r>
        <w:rPr>
          <w:rFonts w:ascii="Times New Roman" w:cs="Times New Roman" w:eastAsia="Times New Roman" w:hAnsi="Times New Roman"/>
          <w:b w:val="false"/>
          <w:bCs w:val="false"/>
          <w:i w:val="false"/>
          <w:iCs w:val="false"/>
          <w:color w:val="000000"/>
          <w:sz w:val="26"/>
          <w:szCs w:val="26"/>
        </w:rPr>
        <w:t>Mục tiêu tổng quát: phân tích và thiết kế mô hình hệ thống thông tin đánh giá hiệu suất có thể cấu hình riêng cho doanh nghiệp tư nhân hoặc khu vực công; mỗi chế độ dùng quy tắc, quy trình và biểu mẫu phù hợp với đối tượng pháp lý.</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Mục tiêu cụ thể và các nhiệm vụ nghiên cứu trọng tâm:</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Thứ nhất: Hệ thống hóa BSC, OKR, PDCA, phản hồi nhiều nguồn và 3P ở doanh nghiệp; cập nhật riêng căn cứ đánh giá công chức theo Nghị định 335/2025/NĐ-CP và viên chức theo Nghị định 233/2026/NĐ-CP.</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xml:space="preserve">• Thứ hai: Khảo sát, mô hình hóa các yêu cầu nghiệp vụ chức năng và phi chức năng của hai khối đối tượng.</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xml:space="preserve">• Thứ ba: Thiết kế cấu trúc tĩnh và hành vi động của hệ thống bằng ngôn ngữ mô hình hóa thống nhất UML (Actor Tree, Use Case, Package, Class, Sequence, Activity, State Machine).</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Thứ tư: Đề xuất kiến trúc nhiều tầng và mô hình dữ liệu quan hệ 26 bảng như phương án thiết kế. Cấu trúc này không phải lược đồ cơ sở dữ liệu đang triển khai của HRMS hiện tại.</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xml:space="preserve">• Thứ năm: Xây dựng kế hoạch triển khai 16 tuần, ma trận quản trị rủi ro và lộ trình tích hợp công nghệ Trí tuệ nhân tạo (AI) trong tương lai.</w:t>
      </w:r>
    </w:p>
    <w:p>
      <w:pPr>
        <w:pStyle w:val="Heading1"/>
        <w:spacing w:after="100" w:before="240"/>
        <w:jc w:val="left"/>
      </w:pPr>
      <w:r>
        <w:rPr>
          <w:rFonts w:ascii="Times New Roman" w:cs="Times New Roman" w:eastAsia="Times New Roman" w:hAnsi="Times New Roman"/>
          <w:b/>
          <w:bCs/>
          <w:color w:val="000000"/>
          <w:sz w:val="28"/>
          <w:szCs w:val="28"/>
        </w:rPr>
        <w:t xml:space="preserve">3. Đối tượng và phạm vi nghiên cứu</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Đối tượng nghiên cứu: Quy trình nghiệp vụ quản trị hiệu suất, phương pháp đánh giá kết quả thực hiện công việc và giải pháp thiết kế hệ thống thông tin tác nghiệp hỗ trợ đánh giá KPI.</w:t>
      </w:r>
    </w:p>
    <w:p>
      <w:pPr>
        <w:spacing/>
        <w:ind w:firstLine="720"/>
        <w:jc w:val="both"/>
      </w:pPr>
      <w:r>
        <w:rPr>
          <w:rFonts w:ascii="Times New Roman" w:cs="Times New Roman" w:eastAsia="Times New Roman" w:hAnsi="Times New Roman"/>
          <w:b w:val="false"/>
          <w:bCs w:val="false"/>
          <w:i w:val="false"/>
          <w:iCs w:val="false"/>
          <w:color w:val="000000"/>
          <w:sz w:val="26"/>
          <w:szCs w:val="26"/>
        </w:rPr>
        <w:t>Phạm vi nghiên cứu gồm hai bối cảnh được tách riêng: doanh nghiệp sản xuất - kinh doanh, nơi ERP/MES/IoT có thể là nguồn tích hợp nếu doanh nghiệp có và cấp quyền kết nối; cơ quan hành chính/đơn vị sự nghiệp công lập, nơi dữ liệu nhiệm vụ và phân loại tuân theo chế độ công chức hoặc viên chức tương ứng. Ví dụ KPI, tên tổ chức, số liệu, bảng biểu, yêu cầu phi chức năng, sơ đồ UML, kiến trúc và CSDL 26 bảng trong báo cáo là mockup/giả định phân tích, không phải dữ liệu khảo sát hay kết quả kiểm thử đã xác minh. HRMS đang đối chiếu là ứng dụng web Next.js, API NestJS, PostgreSQL/Prisma với phân hệ chu kỳ, KRA, minh chứng, điểm và phản hồi doanh nghiệp; không có sản phẩm KPI tách biệt hay các tích hợp ERP/MES/IoT/Kafka/Redis/MinIO/DVC nêu trong phương án này.</w:t>
      </w:r>
    </w:p>
    <w:p>
      <w:pPr>
        <w:pStyle w:val="Heading1"/>
        <w:spacing w:after="100" w:before="240"/>
        <w:jc w:val="left"/>
      </w:pPr>
      <w:r>
        <w:rPr>
          <w:rFonts w:ascii="Times New Roman" w:cs="Times New Roman" w:eastAsia="Times New Roman" w:hAnsi="Times New Roman"/>
          <w:b/>
          <w:bCs/>
          <w:color w:val="000000"/>
          <w:sz w:val="28"/>
          <w:szCs w:val="28"/>
        </w:rPr>
        <w:t xml:space="preserve">4. Phương pháp nghiên cứu</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Đề tài áp dụng kết hợp các phương pháp nghiên cứu khoa học sau:</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xml:space="preserve">• Phương pháp nghiên cứu tài liệu và văn bản pháp quy: Nghiên cứu các quy định pháp luật về cán bộ công chức và các tài liệu chuẩn mực quản trị quốc tế về BSC/KPI.</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xml:space="preserve">• Phương pháp phân tích và thiết kế hướng đối tượng (OOAD): Sử dụng ngôn ngữ UML để mô hình hóa toàn diện các thành phần của hệ thống thông tin.</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xml:space="preserve">• Phương pháp mô hình hóa toán học: Xây dựng các thuật toán tính điểm chuẩn hóa, công thức tỷ lệ thuận/nghịch và thuật toán kiểm chuẩn dữ liệu bất thường.</w:t>
      </w:r>
    </w:p>
    <w:p>
      <w:pPr>
        <w:pStyle w:val="Heading1"/>
        <w:spacing w:after="100" w:before="240"/>
        <w:jc w:val="left"/>
      </w:pPr>
      <w:r>
        <w:rPr>
          <w:rFonts w:ascii="Times New Roman" w:cs="Times New Roman" w:eastAsia="Times New Roman" w:hAnsi="Times New Roman"/>
          <w:b/>
          <w:bCs/>
          <w:color w:val="000000"/>
          <w:sz w:val="28"/>
          <w:szCs w:val="28"/>
        </w:rPr>
        <w:t xml:space="preserve">5. Cấu trúc của báo cáo</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Báo cáo được kết cấu thành 3 chương chính bên cạnh Phần mở đầu và Kết luận:</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xml:space="preserve">• Chương 1: Cơ sở lý luận về quản trị hiệu suất và hệ thống thông tin đánh giá KPI.</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xml:space="preserve">• Chương 2: Phân tích và thiết kế hệ thống thông tin đánh giá KPI.</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xml:space="preserve">• Chương 3: Kết quả đạt được, kế hoạch triển khai và hướng phát triển.</w:t>
      </w:r>
    </w:p>
    <w:p>
      <w:pPr>
        <w:pageBreakBefore/>
        <w:spacing/>
        <w:ind w:firstLine="720"/>
        <w:jc w:val="both"/>
      </w:pPr>
      <w:r>
        <w:rPr>
          <w:rFonts w:ascii="Times New Roman" w:cs="Times New Roman" w:eastAsia="Times New Roman" w:hAnsi="Times New Roman"/>
          <w:b/>
          <w:bCs/>
          <w:color w:val="000000"/>
          <w:sz w:val="30"/>
          <w:szCs w:val="30"/>
        </w:rPr>
        <w:t xml:space="preserve">CHƯƠNG 1: CƠ SỞ LÝ LUẬN VỀ QUẢN TRỊ HIỆU SUẤT VÀ HỆ THỐNG THÔNG TIN ĐÁNH GIÁ KPI</w:t>
      </w:r>
    </w:p>
    <w:p>
      <w:pPr>
        <w:pStyle w:val="Heading1"/>
        <w:spacing w:after="100" w:before="240"/>
        <w:jc w:val="left"/>
      </w:pPr>
      <w:r>
        <w:rPr>
          <w:rFonts w:ascii="Times New Roman" w:cs="Times New Roman" w:eastAsia="Times New Roman" w:hAnsi="Times New Roman"/>
          <w:b/>
          <w:bCs/>
          <w:color w:val="000000"/>
          <w:sz w:val="28"/>
          <w:szCs w:val="28"/>
        </w:rPr>
        <w:t xml:space="preserve">1.1. Hệ thống hóa các mô hình lý thuyết quản trị hiệu suất</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Quản trị hiệu suất (Performance Management) là quá trình mang tính chiến lược và tích hợp nhằm duy trì sự thành công bền vững của tổ chức thông qua việc nâng cao năng lực của các tập thể và cá nhân. Trọng tâm của quản trị hiệu suất hiện đại là chuyển dịch từ phương thức đánh giá hồi tố mang tính phán xét sang việc đồng hành, theo dõi tiến độ thời gian thực và cải tiến liên tục.</w:t>
      </w:r>
    </w:p>
    <w:p>
      <w:pPr>
        <w:pStyle w:val="Heading2"/>
        <w:spacing w:after="80" w:before="180"/>
        <w:jc w:val="left"/>
      </w:pPr>
      <w:r>
        <w:rPr>
          <w:rFonts w:ascii="Times New Roman" w:cs="Times New Roman" w:eastAsia="Times New Roman" w:hAnsi="Times New Roman"/>
          <w:b/>
          <w:bCs/>
          <w:color w:val="000000"/>
          <w:sz w:val="26"/>
          <w:szCs w:val="26"/>
        </w:rPr>
        <w:t xml:space="preserve">1.1.1. Mô hình Thẻ điểm cân bằng (Balanced Scorecard - BSC)</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Được phát triển bởi Robert Kaplan và David Norton, mô hình Thẻ điểm cân bằng giúp chuyển hóa tầm nhìn và chiến lược của tổ chức thành hệ thống các mục tiêu và chỉ số đo lường cụ thể theo bốn khía cạnh then chốt:</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 Khía cạnh Tài chính: Đo lường kết quả tài chính cuối cùng như Doanh thu, Lợi nhuận gộp, Tỷ suất hoàn vốn đầu tư (ROI).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 Khía cạnh Khách hàng: Đo lường mức độ thỏa mãn của thị trường như Tỷ lệ giữ chân khách hàng, Điểm hài lòng khách hàng (CSAT), Thị phần.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 Khía cạnh Quy trình nội bộ: Đo lường hiệu quả vận hành như Tỷ lệ sản phẩm lỗi (PPM), Năng suất lao động (PPH), Thời gian xử lý đơn hàng.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4. Khía cạnh Học hỏi và Phát triển: Đo lường năng lực con người và công nghệ như Giờ đào tạo/nhân viên, Tỷ lệ áp dụng sáng kiến đổi mới, Chỉ số gắn kết nhân viên.</w:t>
      </w:r>
    </w:p>
    <w:p>
      <w:pPr>
        <w:pStyle w:val="Heading2"/>
        <w:spacing w:after="80" w:before="180"/>
        <w:jc w:val="left"/>
      </w:pPr>
      <w:r>
        <w:rPr>
          <w:rFonts w:ascii="Times New Roman" w:cs="Times New Roman" w:eastAsia="Times New Roman" w:hAnsi="Times New Roman"/>
          <w:b/>
          <w:bCs/>
          <w:color w:val="000000"/>
          <w:sz w:val="26"/>
          <w:szCs w:val="26"/>
        </w:rPr>
        <w:t xml:space="preserve">1.1.2. Mô hình Mục tiêu và Kết quả then chốt (OKRs) và mối quan hệ với KPI</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Mục tiêu và Kết quả then chốt (Objectives and Key Results - OKRs) là phương pháp quản trị định hướng mục tiêu thách thức, tập trung vào sự chuyển dịch đột phá. Trong khi KPI đóng vai trò là "bảng đồng hồ tốc độ" duy trì sự ổn định của hệ thống tác nghiệp, thì OKR là "kim chỉ nam" định hướng tổ chức vươn tới những mục tiêu mang tính đột phá.</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771"/>
      </w:tblGrid>
      <w:tr>
        <w:trPr>
          <w:tblHeader/>
        </w:trPr>
        <w:tc>
          <w:tcPr>
            <w:tcW w:type="dxa" w:w="18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Tiêu chí so sánh</w:t>
            </w:r>
          </w:p>
        </w:tc>
        <w:tc>
          <w:tcPr>
            <w:tcW w:type="dxa" w:w="37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Hệ thống chỉ số KPI</w:t>
            </w:r>
          </w:p>
        </w:tc>
        <w:tc>
          <w:tcPr>
            <w:tcW w:type="dxa" w:w="37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Phương pháp quản trị OKRs</w:t>
            </w:r>
          </w:p>
        </w:tc>
      </w:tr>
      <w:tr>
        <w:tc>
          <w:tcPr>
            <w:tcW w:type="dxa" w:w="1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Bản chất &amp; Mục đích</w:t>
            </w:r>
          </w:p>
        </w:tc>
        <w:tc>
          <w:tcPr>
            <w:tcW w:type="dxa" w:w="37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Đo lường hiệu suất vận hành hiện tại, duy trì chuẩn mực ổn định</w:t>
            </w:r>
          </w:p>
        </w:tc>
        <w:tc>
          <w:tcPr>
            <w:tcW w:type="dxa" w:w="37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Định hướng mục tiêu đổi mới, tạo bước nhảy vọt chiến lược</w:t>
            </w:r>
          </w:p>
        </w:tc>
      </w:tr>
      <w:tr>
        <w:tc>
          <w:tcPr>
            <w:tcW w:type="dxa" w:w="1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Mức độ hoàn thành kỳ vọng</w:t>
            </w:r>
          </w:p>
        </w:tc>
        <w:tc>
          <w:tcPr>
            <w:tcW w:type="dxa" w:w="37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Bắt buộc đạt 100% chỉ tiêu kế hoạch được giao</w:t>
            </w:r>
          </w:p>
        </w:tc>
        <w:tc>
          <w:tcPr>
            <w:tcW w:type="dxa" w:w="37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Kỳ vọng đạt từ 60% - 70% đã được xem là thành công lớn</w:t>
            </w:r>
          </w:p>
        </w:tc>
      </w:tr>
      <w:tr>
        <w:tc>
          <w:tcPr>
            <w:tcW w:type="dxa" w:w="1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Chu kỳ theo dõi &amp; đánh giá</w:t>
            </w:r>
          </w:p>
        </w:tc>
        <w:tc>
          <w:tcPr>
            <w:tcW w:type="dxa" w:w="37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Tháng, Quý, Năm định kỳ</w:t>
            </w:r>
          </w:p>
        </w:tc>
        <w:tc>
          <w:tcPr>
            <w:tcW w:type="dxa" w:w="37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Quý hoặc chu kỳ ngắn hạn linh hoạt (6 - 8 tuần)</w:t>
            </w:r>
          </w:p>
        </w:tc>
      </w:tr>
      <w:tr>
        <w:tc>
          <w:tcPr>
            <w:tcW w:type="dxa" w:w="1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Liên kết với tiền lương</w:t>
            </w:r>
          </w:p>
        </w:tc>
        <w:tc>
          <w:tcPr>
            <w:tcW w:type="dxa" w:w="37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Có thể dùng làm căn cứ P3 theo chính sách đã ban hành; không tự động. HRMS hiện chưa nối KPI với bảng lương.</w:t>
            </w:r>
          </w:p>
        </w:tc>
        <w:tc>
          <w:tcPr>
            <w:tcW w:type="dxa" w:w="37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Thường tách khỏi tiền lương để khuyến khích mục tiêu thách thức; tùy quy chế doanh nghiệp.</w:t>
            </w:r>
          </w:p>
        </w:tc>
      </w:tr>
      <w:tr>
        <w:tc>
          <w:tcPr>
            <w:tcW w:type="dxa" w:w="1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Tính chất mục tiêu</w:t>
            </w:r>
          </w:p>
        </w:tc>
        <w:tc>
          <w:tcPr>
            <w:tcW w:type="dxa" w:w="37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Định lượng rõ ràng, mang tính giao khoán từ trên xuống</w:t>
            </w:r>
          </w:p>
        </w:tc>
        <w:tc>
          <w:tcPr>
            <w:tcW w:type="dxa" w:w="37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Khát vọng, thách thức, kết hợp linh hoạt từ trên xuống và từ dưới lên</w:t>
            </w:r>
          </w:p>
        </w:tc>
      </w:tr>
    </w:tbl>
    <w:p>
      <w:pPr>
        <w:pStyle w:val="Heading2"/>
        <w:spacing w:after="80" w:before="180"/>
        <w:jc w:val="left"/>
      </w:pPr>
      <w:r>
        <w:rPr>
          <w:rFonts w:ascii="Times New Roman" w:cs="Times New Roman" w:eastAsia="Times New Roman" w:hAnsi="Times New Roman"/>
          <w:b/>
          <w:bCs/>
          <w:color w:val="000000"/>
          <w:sz w:val="26"/>
          <w:szCs w:val="26"/>
        </w:rPr>
        <w:t xml:space="preserve">1.1.3. Chu trình PDCA, Đánh giá 360 độ và Mô hình đãi ngộ tổng thể 3P</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Chu trình PDCA (Plan - Do - Check - Act) của Deming là xương sống vận hành của hệ thống KPI: Lập kế hoạch giao chỉ tiêu (Plan) -&gt; Thực hiện công việc và ghi nhận dữ liệu (Do) -&gt; Thẩm định, chấm điểm và đối soát thực tế (Check) -&gt; Khen thưởng, cải tiến quy trình và lập kế hoạch mới (Act).</w:t>
      </w:r>
    </w:p>
    <w:p>
      <w:pPr>
        <w:spacing/>
        <w:ind w:firstLine="720"/>
        <w:jc w:val="both"/>
      </w:pPr>
      <w:r>
        <w:rPr>
          <w:rFonts w:ascii="Times New Roman" w:cs="Times New Roman" w:eastAsia="Times New Roman" w:hAnsi="Times New Roman"/>
          <w:b w:val="false"/>
          <w:bCs w:val="false"/>
          <w:i w:val="false"/>
          <w:iCs w:val="false"/>
          <w:color w:val="000000"/>
          <w:sz w:val="26"/>
          <w:szCs w:val="26"/>
        </w:rPr>
        <w:t>Phản hồi nhiều nguồn là lựa chọn quản trị nội bộ của doanh nghiệp, không thay thế quy trình đánh giá công vụ. HRMS doanh nghiệp hiện áp dụng nhân viên 20% tự đánh giá, 30% đồng nghiệp, 50% quản lý; quản lý có cấp dưới áp dụng 20% tự đánh giá, 20% đồng nghiệp, 50% cấp trên, 10% cấp dưới. Chế độ khu vực công không dùng công thức 360 này.</w:t>
      </w:r>
    </w:p>
    <w:p>
      <w:pPr>
        <w:spacing/>
        <w:ind w:firstLine="720"/>
        <w:jc w:val="both"/>
      </w:pPr>
      <w:r>
        <w:rPr>
          <w:rFonts w:ascii="Times New Roman" w:cs="Times New Roman" w:eastAsia="Times New Roman" w:hAnsi="Times New Roman"/>
          <w:b w:val="false"/>
          <w:bCs w:val="false"/>
          <w:i w:val="false"/>
          <w:iCs w:val="false"/>
          <w:color w:val="000000"/>
          <w:sz w:val="26"/>
          <w:szCs w:val="26"/>
        </w:rPr>
        <w:t>Mô hình đãi ngộ 3P (Position - Person - Performance) là một lựa chọn chính sách của doanh nghiệp, không phải chuẩn bắt buộc cho mọi đơn vị. P3 chỉ được nối với điểm KPI khi doanh nghiệp ban hành quy chế và tích hợp bảng lương; phần mềm HRMS hiện tại chưa tự tính hoặc xuất P3.</w:t>
      </w:r>
    </w:p>
    <w:p>
      <w:pPr>
        <w:pStyle w:val="Heading1"/>
        <w:spacing w:after="100" w:before="240"/>
        <w:jc w:val="left"/>
      </w:pPr>
      <w:r>
        <w:rPr>
          <w:rFonts w:ascii="Times New Roman" w:cs="Times New Roman" w:eastAsia="Times New Roman" w:hAnsi="Times New Roman"/>
          <w:b/>
          <w:bCs/>
          <w:color w:val="000000"/>
          <w:sz w:val="28"/>
          <w:szCs w:val="28"/>
        </w:rPr>
        <w:t xml:space="preserve">1.2. Thể chế pháp lý và đặc thù quản lý chất lượng công vụ trong khu vực công</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Khác với khu vực tư nhân vận hành theo quy luật thị trường, quản trị hiệu suất trong khu vực công tại Việt Nam chịu sự điều chỉnh trực tiếp của hệ thống văn bản quy phạm pháp luật nghiêm ngặt.</w:t>
      </w:r>
    </w:p>
    <w:p>
      <w:pPr>
        <w:pStyle w:val="Heading2"/>
        <w:spacing w:after="80" w:before="180"/>
        <w:jc w:val="left"/>
      </w:pPr>
      <w:r>
        <w:rPr>
          <w:rFonts w:ascii="Times New Roman" w:cs="Times New Roman" w:eastAsia="Times New Roman" w:hAnsi="Times New Roman"/>
          <w:b/>
          <w:bCs/>
          <w:color w:val="000000"/>
          <w:sz w:val="26"/>
          <w:szCs w:val="26"/>
        </w:rPr>
        <w:t>1.2.1. Khung áp dụng năm 2026 đối với công chức và viên chức</w:t>
      </w:r>
    </w:p>
    <w:p>
      <w:pPr>
        <w:spacing/>
        <w:ind w:firstLine="720"/>
        <w:jc w:val="both"/>
      </w:pPr>
      <w:r>
        <w:rPr>
          <w:rFonts w:ascii="Times New Roman" w:cs="Times New Roman" w:eastAsia="Times New Roman" w:hAnsi="Times New Roman"/>
          <w:b w:val="false"/>
          <w:bCs w:val="false"/>
          <w:i w:val="false"/>
          <w:iCs w:val="false"/>
          <w:color w:val="000000"/>
          <w:sz w:val="26"/>
          <w:szCs w:val="26"/>
        </w:rPr>
        <w:t>Từ năm 2026, căn cứ được lựa chọn theo loại hình đơn vị và đối tượng: Nghị định 335/2025/NĐ-CP áp dụng với cơ quan hành chính nhà nước và công chức từ 01/01/2026; Nghị định 233/2026/NĐ-CP áp dụng với đơn vị sự nghiệp công lập và viên chức từ 01/07/2026. Các quy định xếp loại cũ tại Nghị định 90/2020 và phần sửa đổi năm 2023 đã được thay thế theo phạm vi đối tượng kể từ ngày hiệu lực của hai nghị định mới.</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Kết quả phải gắn tiêu chí chung và sản phẩm/nhiệm vụ được giao, có căn cứ kiểm chứng và thẩm quyền kết luận.</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Mức điểm chỉ là căn cứ định lượng; điều kiện cụ thể theo loại đối tượng, chức vụ và quy chế của cấp có thẩm quyền vẫn phải được xem xét trước khi công nhận xếp loại.</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Tỷ lệ “Hoàn thành xuất sắc nhiệm vụ” tối đa thông thường là 20% trên số người được xếp loại “Hoàn thành tốt nhiệm vụ” trong cùng đơn vị và nhóm nhiệm vụ tương đồng. Chỉ xem xét đến 25% nếu đủ điều kiện và có quyết định của cấp có thẩm quyền; không áp dụng cho KPI doanh nghiệp.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gridCol w:w="1471"/>
      </w:tblGrid>
      <w:tr>
        <w:trPr>
          <w:tblHeader/>
        </w:trPr>
        <w:tc>
          <w:tcPr>
            <w:tcW w:type="dxa" w:w="2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Khung xếp loại công chức/viên chức 2026</w:t>
            </w:r>
          </w:p>
        </w:tc>
        <w:tc>
          <w:tcPr>
            <w:tcW w:type="dxa" w:w="56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Điểm tổng &gt;=90: xem xét xuất sắc và phải đủ điều kiện cụ thể; từ 70 đến dưới 90: tốt; từ 50 đến dưới 70: hoàn thành; dưới 50 hoặc trường hợp loại trừ: không hoàn thành. Cấp có thẩm quyền còn phải xem sản phẩm, tiến độ, chất lượng, kỷ luật và quy chế theo loại đối tượng.</w:t>
            </w:r>
          </w:p>
        </w:tc>
        <w:tc>
          <w:tcPr>
            <w:tcW w:type="dxa" w:w="14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Chỉ áp dụng khu vực công; doanh nghiệp không áp dụng hạn ngạch này.</w:t>
            </w:r>
          </w:p>
        </w:tc>
      </w:tr>
      <w:tr>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Hoàn thành xuất sắc nhiệm vụ</w:t>
            </w:r>
          </w:p>
        </w:tc>
        <w:tc>
          <w:tcPr>
            <w:tcW w:type="dxa" w:w="5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Điểm từ 90 trở lên và đủ điều kiện theo NĐ 335/2025 (công chức) hoặc NĐ 233/2026 (viên chức); cần thẩm quyền kết luận và đối chiếu nhóm nhiệm vụ tương đồng.</w:t>
            </w:r>
          </w:p>
        </w:tc>
        <w:tc>
          <w:tcPr>
            <w:tcW w:type="dxa" w:w="14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Khu vực công; mặc định 20%, ngoại lệ đến 25% theo quyết định có thẩm quyền.</w:t>
            </w:r>
          </w:p>
        </w:tc>
      </w:tr>
      <w:tr>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Hoàn thành tốt nhiệm vụ</w:t>
            </w:r>
          </w:p>
        </w:tc>
        <w:tc>
          <w:tcPr>
            <w:tcW w:type="dxa" w:w="5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Thông thường từ 70 đến dưới 90 điểm, kèm điều kiện hoàn thành nhiệm vụ theo nghị định và quy chế áp dụng.</w:t>
            </w:r>
          </w:p>
        </w:tc>
        <w:tc>
          <w:tcPr>
            <w:tcW w:type="dxa" w:w="14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Không áp dụng hạn ngạch xuất sắc.</w:t>
            </w:r>
          </w:p>
        </w:tc>
      </w:tr>
      <w:tr>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Hoàn thành nhiệm vụ</w:t>
            </w:r>
          </w:p>
        </w:tc>
        <w:tc>
          <w:tcPr>
            <w:tcW w:type="dxa" w:w="5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Thông thường từ 50 đến dưới 70 điểm; áp dụng điều kiện nhiệm vụ, tiến độ, chất lượng theo nghị định.</w:t>
            </w:r>
          </w:p>
        </w:tc>
        <w:tc>
          <w:tcPr>
            <w:tcW w:type="dxa" w:w="14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Không áp dụng hạn ngạch xuất sắc.</w:t>
            </w:r>
          </w:p>
        </w:tc>
      </w:tr>
      <w:tr>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Không hoàn thành nhiệm vụ</w:t>
            </w:r>
          </w:p>
        </w:tc>
        <w:tc>
          <w:tcPr>
            <w:tcW w:type="dxa" w:w="5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Dưới 50 điểm hoặc thuộc trường hợp pháp lý khác theo nghị định/quy chế áp dụng.</w:t>
            </w:r>
          </w:p>
        </w:tc>
        <w:tc>
          <w:tcPr>
            <w:tcW w:type="dxa" w:w="14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Không áp dụng hạn ngạch xuất sắc.</w:t>
            </w:r>
          </w:p>
        </w:tc>
      </w:tr>
    </w:tbl>
    <w:p>
      <w:pPr>
        <w:pStyle w:val="Heading2"/>
        <w:spacing w:after="80" w:before="180"/>
        <w:jc w:val="left"/>
      </w:pPr>
      <w:r>
        <w:rPr>
          <w:rFonts w:ascii="Times New Roman" w:cs="Times New Roman" w:eastAsia="Times New Roman" w:hAnsi="Times New Roman"/>
          <w:b/>
          <w:bCs/>
          <w:color w:val="000000"/>
          <w:sz w:val="26"/>
          <w:szCs w:val="26"/>
        </w:rPr>
        <w:t xml:space="preserve">1.2.2. Chủ trương khuyến khích, bảo vệ cán bộ theo Kết luận số 14-KL/TW</w:t>
      </w:r>
    </w:p>
    <w:p>
      <w:pPr>
        <w:spacing/>
        <w:ind w:firstLine="720"/>
        <w:jc w:val="both"/>
      </w:pPr>
      <w:r>
        <w:rPr>
          <w:rFonts w:ascii="Times New Roman" w:cs="Times New Roman" w:eastAsia="Times New Roman" w:hAnsi="Times New Roman"/>
          <w:b w:val="false"/>
          <w:bCs w:val="false"/>
          <w:i w:val="false"/>
          <w:iCs w:val="false"/>
          <w:color w:val="000000"/>
          <w:sz w:val="26"/>
          <w:szCs w:val="26"/>
        </w:rPr>
        <w:t>Kết luận 14-KL/TW là căn cứ định hướng xem xét trường hợp cán bộ đổi mới, sáng tạo vì lợi ích chung, không phải công thức cộng điểm, miễn kỷ luật hoặc tự động vượt tỷ lệ. Phần mềm chỉ nên lưu hồ sơ, lý do và quyết định của cấp có thẩm quyền; không tự suy diễn miễn trừ.</w:t>
      </w:r>
    </w:p>
    <w:p>
      <w:pPr>
        <w:pStyle w:val="Heading1"/>
        <w:spacing w:after="100" w:before="240"/>
        <w:jc w:val="left"/>
      </w:pPr>
      <w:r>
        <w:rPr>
          <w:rFonts w:ascii="Times New Roman" w:cs="Times New Roman" w:eastAsia="Times New Roman" w:hAnsi="Times New Roman"/>
          <w:b/>
          <w:bCs/>
          <w:color w:val="000000"/>
          <w:sz w:val="28"/>
          <w:szCs w:val="28"/>
        </w:rPr>
        <w:t xml:space="preserve">1.3. Đặc thù quản trị hiệu suất trong khối Doanh nghiệp tư nhân</w:t>
      </w:r>
    </w:p>
    <w:p>
      <w:pPr>
        <w:spacing/>
        <w:ind w:firstLine="720"/>
        <w:jc w:val="both"/>
      </w:pPr>
      <w:r>
        <w:rPr>
          <w:rFonts w:ascii="Times New Roman" w:cs="Times New Roman" w:eastAsia="Times New Roman" w:hAnsi="Times New Roman"/>
          <w:b w:val="false"/>
          <w:bCs w:val="false"/>
          <w:i w:val="false"/>
          <w:iCs w:val="false"/>
          <w:color w:val="000000"/>
          <w:sz w:val="26"/>
          <w:szCs w:val="26"/>
        </w:rPr>
        <w:t>Trong doanh nghiệp, KPI có thể gắn với hiệu quả nguồn lực, chất lượng và đáp ứng khách hàng. OEE, PPM và kết nối dữ liệu dưới đây là ví dụ theo ngành hoặc phương án phân tích; chỉ áp dụng khi có định nghĩa, dữ liệu và nguồn phù hợp, không phải chức năng HRMS hiện tại:</w:t>
      </w:r>
    </w:p>
    <w:p>
      <w:pPr>
        <w:spacing/>
        <w:ind w:left="504" w:hanging="288"/>
        <w:jc w:val="both"/>
      </w:pPr>
      <w:r>
        <w:t>• Đo lường hiệu suất thiết bị tổng thể (OEE): OEE = Mức độ sẵn sàng × Hiệu suất vận hành × Tỷ lệ chất lượng sản phẩm.</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Tỷ lệ sai hỏng trên một triệu sản phẩm (PPM): Số đơn vị lỗi ÷ tổng đơn vị sản phẩm × 1.000.000; chỉ dùng khi quy tắc đếm lỗi và nguồn dữ liệu chất lượng được thống nhất.</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Kết nối nguồn dữ liệu (phương án): Nếu doanh nghiệp có ERP/MES/IoT và cấp quyền, có thể nạp sản lượng, thời gian vận hành và lỗi theo lô. HRMS hiện chưa tích hợp các nguồn này; dữ liệu cần đối soát, phân quyền sửa và lưu vết.</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Kiểm soát gian lận (phương án nâng cao): Ưu tiên phân quyền, nhật ký thay đổi, khóa kỳ và đối soát chứng từ. Phát hiện ngoại lai (Anomaly Detection) hoặc băm SHA-256 là lựa chọn kỹ thuật tùy rủi ro, không thay thế kiểm tra nghiệp vụ và chưa có trong HRMS.</w:t>
      </w:r>
    </w:p>
    <w:p>
      <w:pPr>
        <w:pStyle w:val="Heading1"/>
        <w:spacing w:after="100" w:before="240"/>
        <w:jc w:val="left"/>
      </w:pPr>
      <w:r>
        <w:rPr>
          <w:rFonts w:ascii="Times New Roman" w:cs="Times New Roman" w:eastAsia="Times New Roman" w:hAnsi="Times New Roman"/>
          <w:b/>
          <w:bCs/>
          <w:color w:val="000000"/>
          <w:sz w:val="28"/>
          <w:szCs w:val="28"/>
        </w:rPr>
        <w:t xml:space="preserve">1.4. Mô hình toán học và công thức tính toán chỉ số hiệu quả</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Nhằm bảo đảm tính minh bạch và chuẩn xác tuyệt đối trong khâu tính điểm, các công thức toán học được chuẩn hóa như sau:</w:t>
      </w:r>
    </w:p>
    <w:p>
      <w:pPr>
        <w:spacing w:after="60" w:before="160"/>
      </w:pPr>
      <w:r>
        <w:rPr>
          <w:rFonts w:ascii="Times New Roman" w:cs="Times New Roman" w:eastAsia="Times New Roman" w:hAnsi="Times New Roman"/>
          <w:b/>
          <w:bCs/>
          <w:color w:val="000000"/>
          <w:sz w:val="26"/>
          <w:szCs w:val="26"/>
        </w:rPr>
        <w:t xml:space="preserve">Công thức 1.1: Điểm số chỉ tiêu tỷ lệ thuận (Càng cao càng tốt - Doanh thu, Sản lượng, Điểm hài lòng):</w:t>
      </w:r>
    </w:p>
    <w:p>
      <w:pPr>
        <w:spacing/>
        <w:ind w:firstLine="720"/>
        <w:jc w:val="both"/>
      </w:pPr>
      <w:r>
        <w:rPr>
          <w:rFonts w:ascii="Times New Roman" w:cs="Times New Roman" w:eastAsia="Times New Roman" w:hAnsi="Times New Roman"/>
          <w:b/>
          <w:bCs/>
          <w:color w:val="000000"/>
          <w:sz w:val="26"/>
          <w:szCs w:val="26"/>
        </w:rPr>
        <w:t>Điểm = min(max(Thực tế ÷ Mục tiêu × 100, 0), Điểm trần), với mục tiêu lớn hơn 0.</w:t>
      </w:r>
    </w:p>
    <w:p>
      <w:pPr>
        <w:spacing/>
        <w:ind w:firstLine="720"/>
        <w:jc w:val="both"/>
      </w:pPr>
      <w:r>
        <w:rPr>
          <w:rFonts w:ascii="Times New Roman" w:cs="Times New Roman" w:eastAsia="Times New Roman" w:hAnsi="Times New Roman"/>
          <w:i/>
          <w:iCs/>
          <w:color w:val="000000"/>
          <w:sz w:val="26"/>
          <w:szCs w:val="26"/>
        </w:rPr>
        <w:t xml:space="preserve">Giải thích: Trong đó: S_i là điểm số của chỉ tiêu thứ i; A_i là giá trị thực hiện thực tế đo lường được; T_i là giá trị chỉ tiêu kế hoạch được giao; S_max là trần điểm khống chế tối đa (thường là 120% hoặc 150% nhằm tránh việc chạy theo số lượng).</w:t>
      </w:r>
    </w:p>
    <w:p>
      <w:pPr>
        <w:spacing w:after="60" w:before="160"/>
      </w:pPr>
      <w:r>
        <w:rPr>
          <w:rFonts w:ascii="Times New Roman" w:cs="Times New Roman" w:eastAsia="Times New Roman" w:hAnsi="Times New Roman"/>
          <w:b/>
          <w:bCs/>
          <w:color w:val="000000"/>
          <w:sz w:val="26"/>
          <w:szCs w:val="26"/>
        </w:rPr>
        <w:t xml:space="preserve">Công thức 1.2: Điểm số chỉ tiêu tỷ lệ nghịch (Càng thấp càng tốt - Tỷ lệ phế phẩm PPM, Tỷ lệ trễ hạn hồ sơ):</w:t>
      </w:r>
    </w:p>
    <w:p>
      <w:pPr>
        <w:spacing/>
        <w:ind w:firstLine="720"/>
        <w:jc w:val="both"/>
      </w:pPr>
      <w:r>
        <w:rPr>
          <w:rFonts w:ascii="Times New Roman" w:cs="Times New Roman" w:eastAsia="Times New Roman" w:hAnsi="Times New Roman"/>
          <w:b/>
          <w:bCs/>
          <w:color w:val="000000"/>
          <w:sz w:val="26"/>
          <w:szCs w:val="26"/>
        </w:rPr>
        <w:t>Điểm = min(max((2 − Thực tế ÷ Mục tiêu) × 100, 0), Điểm trần), với mục tiêu lớn hơn 0.</w:t>
      </w:r>
    </w:p>
    <w:p>
      <w:pPr>
        <w:spacing/>
        <w:ind w:firstLine="720"/>
        <w:jc w:val="both"/>
      </w:pPr>
      <w:r>
        <w:rPr>
          <w:rFonts w:ascii="Times New Roman" w:cs="Times New Roman" w:eastAsia="Times New Roman" w:hAnsi="Times New Roman"/>
          <w:i/>
          <w:iCs/>
          <w:color w:val="000000"/>
          <w:sz w:val="26"/>
          <w:szCs w:val="26"/>
        </w:rPr>
        <w:t xml:space="preserve">Giải thích: Trong đó: Khi giá trị thực tế A_i bằng đúng kế hoạch T_i thì điểm số đạt 100 điểm. Nếu tỷ lệ lỗi A_i vượt quá 2 lần ngưỡng trần cho phép (A_i &gt;= 2*T_i) thì điểm số chỉ tiêu bị triệt tiêu về 0 điểm.</w:t>
      </w:r>
    </w:p>
    <w:p>
      <w:pPr>
        <w:spacing w:after="60" w:before="160"/>
      </w:pPr>
      <w:r>
        <w:rPr>
          <w:rFonts w:ascii="Times New Roman" w:cs="Times New Roman" w:eastAsia="Times New Roman" w:hAnsi="Times New Roman"/>
          <w:b/>
          <w:bCs/>
          <w:color w:val="000000"/>
          <w:sz w:val="26"/>
          <w:szCs w:val="26"/>
        </w:rPr>
        <w:t xml:space="preserve">Công thức 1.3: Điểm đánh giá tổng hợp có trọng số trong kỳ (Composite Score):</w:t>
      </w:r>
    </w:p>
    <w:p>
      <w:pPr>
        <w:spacing/>
        <w:ind w:firstLine="720"/>
        <w:jc w:val="both"/>
      </w:pPr>
      <w:r>
        <w:t>Điểm tổng hợp = tổng (trọng số chỉ tiêu × điểm chỉ tiêu); tổng trọng số của các chỉ tiêu được giao trong kỳ bắt buộc bằng 100%.</w:t>
      </w:r>
    </w:p>
    <w:p>
      <w:pPr>
        <w:spacing/>
        <w:ind w:firstLine="720"/>
        <w:jc w:val="both"/>
      </w:pPr>
      <w:r>
        <w:rPr>
          <w:rFonts w:ascii="Times New Roman" w:cs="Times New Roman" w:eastAsia="Times New Roman" w:hAnsi="Times New Roman"/>
          <w:i/>
          <w:iCs/>
          <w:color w:val="000000"/>
          <w:sz w:val="26"/>
          <w:szCs w:val="26"/>
        </w:rPr>
        <w:t xml:space="preserve">Giải thích: Trong đó: w_i là trọng số của chỉ tiêu thứ i; S_i là điểm số thành phần của chỉ tiêu thứ i; tổng trọng số của toàn bộ danh mục chỉ tiêu giao cho một cá nhân trong chu kỳ bắt buộc phải đúng bằng 100%.</w:t>
      </w:r>
    </w:p>
    <w:p>
      <w:pPr>
        <w:spacing w:after="60" w:before="160"/>
      </w:pPr>
      <w:r>
        <w:rPr>
          <w:rFonts w:ascii="Times New Roman" w:cs="Times New Roman" w:eastAsia="Times New Roman" w:hAnsi="Times New Roman"/>
          <w:b/>
          <w:bCs/>
          <w:color w:val="000000"/>
          <w:sz w:val="26"/>
          <w:szCs w:val="26"/>
        </w:rPr>
        <w:t xml:space="preserve">Công thức 1.4: Điểm tổng hợp đánh giá đa chiều 360 độ (Multi-rater Feedback):</w:t>
      </w:r>
    </w:p>
    <w:p>
      <w:pPr>
        <w:spacing/>
        <w:ind w:firstLine="720"/>
        <w:jc w:val="both"/>
      </w:pPr>
      <w:r>
        <w:rPr>
          <w:rFonts w:ascii="Times New Roman" w:cs="Times New Roman" w:eastAsia="Times New Roman" w:hAnsi="Times New Roman"/>
          <w:b/>
          <w:bCs/>
          <w:color w:val="000000"/>
          <w:sz w:val="26"/>
          <w:szCs w:val="26"/>
        </w:rPr>
        <w:t>Nhân viên doanh nghiệp: S = 0,20 × S_tự đánh giá + 0,30 × S_đồng nghiệp + 0,50 × S_quản lý. Quản lý có cấp dưới: S = 0,20 × S_tự đánh giá + 0,20 × S_đồng nghiệp + 0,50 × S_cấp trên + 0,10 × S_cấp dưới. Đây là trọng số chính sách nội bộ của HRMS, không phải chuẩn pháp lý phổ quát; kỳ khu vực công dùng mô hình 30/70 riêng.</w:t>
      </w:r>
    </w:p>
    <w:p>
      <w:pPr>
        <w:spacing/>
        <w:ind w:firstLine="720"/>
        <w:jc w:val="both"/>
      </w:pPr>
      <w:r>
        <w:rPr>
          <w:rFonts w:ascii="Times New Roman" w:cs="Times New Roman" w:eastAsia="Times New Roman" w:hAnsi="Times New Roman"/>
          <w:i/>
          <w:iCs/>
          <w:color w:val="000000"/>
          <w:sz w:val="26"/>
          <w:szCs w:val="26"/>
        </w:rPr>
        <w:t>Các điểm thành phần được quy đổi về thang 100 trước khi tổng hợp. Với nhân viên không quản lý, phản hồi cấp dưới không áp dụng; phần 30% đồng nghiệp không bị chia lại. Với quản lý có cấp dưới, phần phản hồi đồng nghiệp là 20% và cấp dưới 10%. Kết quả vẫn cần quản lý xem xét minh chứng; không tự quyết định lương P3.</w:t>
      </w:r>
    </w:p>
    <w:p>
      <w:pPr>
        <w:pStyle w:val="Heading1"/>
        <w:spacing w:after="100" w:before="240"/>
        <w:jc w:val="left"/>
      </w:pPr>
      <w:r>
        <w:rPr>
          <w:rFonts w:ascii="Times New Roman" w:cs="Times New Roman" w:eastAsia="Times New Roman" w:hAnsi="Times New Roman"/>
          <w:b/>
          <w:bCs/>
          <w:color w:val="000000"/>
          <w:sz w:val="28"/>
          <w:szCs w:val="28"/>
        </w:rPr>
        <w:t xml:space="preserve">1.5. Danh mục Từ điển chỉ số hiệu quả mẫu</w:t>
      </w:r>
    </w:p>
    <w:p>
      <w:pPr>
        <w:spacing/>
        <w:ind w:firstLine="720"/>
        <w:jc w:val="both"/>
      </w:pPr>
      <w:r>
        <w:rPr>
          <w:rFonts w:ascii="Times New Roman" w:cs="Times New Roman" w:eastAsia="Times New Roman" w:hAnsi="Times New Roman"/>
          <w:b w:val="false"/>
          <w:bCs w:val="false"/>
          <w:i w:val="false"/>
          <w:iCs w:val="false"/>
          <w:color w:val="000000"/>
          <w:sz w:val="26"/>
          <w:szCs w:val="26"/>
        </w:rPr>
        <w:t>Từ điển chỉ số trong báo cáo là thư viện ví dụ để minh họa khả năng cấu hình. Khi triển khai thực tế cần HR và quản lý chuyên môn xác nhận định nghĩa, đơn vị đo, nguồn dữ liệu, kỳ đo, mức sàn/trần và người chịu trách nhiệm; mẫu khu vực công phải theo chế độ riêng.</w:t>
      </w:r>
    </w:p>
    <w:p>
      <w:pPr>
        <w:pStyle w:val="Heading2"/>
        <w:spacing w:after="80" w:before="180"/>
        <w:jc w:val="left"/>
      </w:pPr>
      <w:r>
        <w:rPr>
          <w:rFonts w:ascii="Times New Roman" w:cs="Times New Roman" w:eastAsia="Times New Roman" w:hAnsi="Times New Roman"/>
          <w:b/>
          <w:bCs/>
          <w:color w:val="000000"/>
          <w:sz w:val="26"/>
          <w:szCs w:val="26"/>
        </w:rPr>
        <w:t xml:space="preserve">1.5.1. Từ điển chỉ số KPI Doanh nghiệp (Vị trí Trưởng phòng Kinh doanh)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1200"/>
        <w:gridCol w:w="900"/>
        <w:gridCol w:w="2000"/>
        <w:gridCol w:w="1571"/>
      </w:tblGrid>
      <w:tr>
        <w:trPr>
          <w:tblHeader/>
        </w:trPr>
        <w:tc>
          <w:tcPr>
            <w:tcW w:type="dxa" w:w="1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Mã KPI</w:t>
            </w:r>
          </w:p>
        </w:tc>
        <w:tc>
          <w:tcPr>
            <w:tcW w:type="dxa" w:w="24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Tên chỉ tiêu đo lường</w:t>
            </w:r>
          </w:p>
        </w:tc>
        <w:tc>
          <w:tcPr>
            <w:tcW w:type="dxa" w:w="1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Khía cạnh BSC</w:t>
            </w:r>
          </w:p>
        </w:tc>
        <w:tc>
          <w:tcPr>
            <w:tcW w:type="dxa" w:w="9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Trọng số</w:t>
            </w:r>
          </w:p>
        </w:tc>
        <w:tc>
          <w:tcPr>
            <w:tcW w:type="dxa" w:w="20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Công thức tính toán</w:t>
            </w:r>
          </w:p>
        </w:tc>
        <w:tc>
          <w:tcPr>
            <w:tcW w:type="dxa" w:w="15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Nguồn dữ liệu tác nghiệp</w:t>
            </w:r>
          </w:p>
        </w:tc>
      </w:tr>
      <w:tr>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KPI-TC-01</w:t>
            </w:r>
          </w:p>
        </w:tc>
        <w:tc>
          <w:tcPr>
            <w:tcW w:type="dxa" w:w="2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Doanh thu bán hàng thực tế đạt được</w:t>
            </w:r>
          </w:p>
        </w:tc>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Tài chính</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30%</w:t>
            </w:r>
          </w:p>
        </w:tc>
        <w:tc>
          <w:tcPr>
            <w:tcW w:type="dxa" w:w="20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(Thực tế / Kế hoạch) * 100</w:t>
            </w:r>
          </w:p>
        </w:tc>
        <w:tc>
          <w:tcPr>
            <w:tcW w:type="dxa" w:w="1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Phần mềm ERP/Bán hàng (Hàng ngày)</w:t>
            </w:r>
          </w:p>
        </w:tc>
      </w:tr>
      <w:tr>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KPI-TC-02</w:t>
            </w:r>
          </w:p>
        </w:tc>
        <w:tc>
          <w:tcPr>
            <w:tcW w:type="dxa" w:w="2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Tỷ lệ thu hồi công nợ đúng hạn</w:t>
            </w:r>
          </w:p>
        </w:tc>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Tài chính</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15%</w:t>
            </w:r>
          </w:p>
        </w:tc>
        <w:tc>
          <w:tcPr>
            <w:tcW w:type="dxa" w:w="20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(Thu nợ đúng hạn / Tổng nợ) * 100</w:t>
            </w:r>
          </w:p>
        </w:tc>
        <w:tc>
          <w:tcPr>
            <w:tcW w:type="dxa" w:w="1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Phần mềm Kế toán (Hàng tuần)</w:t>
            </w:r>
          </w:p>
        </w:tc>
      </w:tr>
      <w:tr>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KPI-KH-01</w:t>
            </w:r>
          </w:p>
        </w:tc>
        <w:tc>
          <w:tcPr>
            <w:tcW w:type="dxa" w:w="2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Tỷ lệ khách hàng mới phát triển</w:t>
            </w:r>
          </w:p>
        </w:tc>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Khách hàng</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20%</w:t>
            </w:r>
          </w:p>
        </w:tc>
        <w:tc>
          <w:tcPr>
            <w:tcW w:type="dxa" w:w="20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(Khách mới / Mục tiêu) * 100</w:t>
            </w:r>
          </w:p>
        </w:tc>
        <w:tc>
          <w:tcPr>
            <w:tcW w:type="dxa" w:w="1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CRM (Hàng tháng)</w:t>
            </w:r>
          </w:p>
        </w:tc>
      </w:tr>
      <w:tr>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KPI-KH-02</w:t>
            </w:r>
          </w:p>
        </w:tc>
        <w:tc>
          <w:tcPr>
            <w:tcW w:type="dxa" w:w="2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Chỉ số hài lòng khách hàng (CSAT)</w:t>
            </w:r>
          </w:p>
        </w:tc>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Khách hàng</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15%</w:t>
            </w:r>
          </w:p>
        </w:tc>
        <w:tc>
          <w:tcPr>
            <w:tcW w:type="dxa" w:w="20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Điểm khảo sát bình quân / 5 * 100</w:t>
            </w:r>
          </w:p>
        </w:tc>
        <w:tc>
          <w:tcPr>
            <w:tcW w:type="dxa" w:w="1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Khảo sát sau dịch vụ (Hàng tháng)</w:t>
            </w:r>
          </w:p>
        </w:tc>
      </w:tr>
      <w:tr>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KPI-QT-01</w:t>
            </w:r>
          </w:p>
        </w:tc>
        <w:tc>
          <w:tcPr>
            <w:tcW w:type="dxa" w:w="2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Tỷ lệ chuyển đổi cơ hội kinh doanh</w:t>
            </w:r>
          </w:p>
        </w:tc>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Quy trình</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10%</w:t>
            </w:r>
          </w:p>
        </w:tc>
        <w:tc>
          <w:tcPr>
            <w:tcW w:type="dxa" w:w="20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(Hợp đồng ký kết / Tổng cơ hội) * 100</w:t>
            </w:r>
          </w:p>
        </w:tc>
        <w:tc>
          <w:tcPr>
            <w:tcW w:type="dxa" w:w="1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Quy trình bán hàng CRM (Hàng tháng)</w:t>
            </w:r>
          </w:p>
        </w:tc>
      </w:tr>
      <w:tr>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KPI-PT-01</w:t>
            </w:r>
          </w:p>
        </w:tc>
        <w:tc>
          <w:tcPr>
            <w:tcW w:type="dxa" w:w="2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Tỷ lệ hoàn thành đào tạo kỹ năng</w:t>
            </w:r>
          </w:p>
        </w:tc>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Phát triển</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10%</w:t>
            </w:r>
          </w:p>
        </w:tc>
        <w:tc>
          <w:tcPr>
            <w:tcW w:type="dxa" w:w="20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(Giờ đào tạo / Chỉ tiêu) * 100</w:t>
            </w:r>
          </w:p>
        </w:tc>
        <w:tc>
          <w:tcPr>
            <w:tcW w:type="dxa" w:w="1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học tập nội bộ LMS</w:t>
            </w:r>
          </w:p>
        </w:tc>
      </w:tr>
    </w:tbl>
    <w:p>
      <w:pPr>
        <w:pStyle w:val="Heading2"/>
        <w:spacing w:after="80" w:before="180"/>
        <w:jc w:val="left"/>
      </w:pPr>
      <w:r>
        <w:rPr>
          <w:rFonts w:ascii="Times New Roman" w:cs="Times New Roman" w:eastAsia="Times New Roman" w:hAnsi="Times New Roman"/>
          <w:b/>
          <w:bCs/>
          <w:color w:val="000000"/>
          <w:sz w:val="26"/>
          <w:szCs w:val="26"/>
        </w:rPr>
        <w:t>1.5.2. Ví dụ nhóm tiêu chí công chức/viên chức theo khung đánh giá năm 2026</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1400"/>
        <w:gridCol w:w="1100"/>
        <w:gridCol w:w="2771"/>
      </w:tblGrid>
      <w:tr>
        <w:trPr>
          <w:tblHeader/>
        </w:trPr>
        <w:tc>
          <w:tcPr>
            <w:tcW w:type="dxa" w:w="1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Mã tiêu chí</w:t>
            </w:r>
          </w:p>
        </w:tc>
        <w:tc>
          <w:tcPr>
            <w:tcW w:type="dxa" w:w="28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Ví dụ tiêu chí đánh giá khu vực công theo khung 2026 (không phải mẫu pháp quy)</w:t>
            </w:r>
          </w:p>
        </w:tc>
        <w:tc>
          <w:tcPr>
            <w:tcW w:type="dxa" w:w="14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Phân khối</w:t>
            </w:r>
          </w:p>
        </w:tc>
        <w:tc>
          <w:tcPr>
            <w:tcW w:type="dxa" w:w="11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Điểm chuẩn</w:t>
            </w:r>
          </w:p>
        </w:tc>
        <w:tc>
          <w:tcPr>
            <w:tcW w:type="dxa" w:w="27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Phương thức kiểm chứng &amp; Nguồn dữ liệu</w:t>
            </w:r>
          </w:p>
        </w:tc>
      </w:tr>
      <w:tr>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TC-C-01</w:t>
            </w:r>
          </w:p>
        </w:tc>
        <w:tc>
          <w:tcPr>
            <w:tcW w:type="dxa" w:w="2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Tư tưởng chính trị, đạo đức lối sống, tác phong công tác</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Khối I (Chung)</w:t>
            </w:r>
          </w:p>
        </w:tc>
        <w:tc>
          <w:tcPr>
            <w:tcW w:type="dxa" w:w="11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15 điểm</w:t>
            </w:r>
          </w:p>
        </w:tc>
        <w:tc>
          <w:tcPr>
            <w:tcW w:type="dxa" w:w="27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Ví dụ căn cứ; cơ quan cấu hình theo tiêu chí/quy chế thuộc thẩm quyền.</w:t>
            </w:r>
          </w:p>
        </w:tc>
      </w:tr>
      <w:tr>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TC-C-02</w:t>
            </w:r>
          </w:p>
        </w:tc>
        <w:tc>
          <w:tcPr>
            <w:tcW w:type="dxa" w:w="2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Ý thức tổ chức kỷ luật, văn hóa công vụ và quy chế nội bộ</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Khối I (Chung)</w:t>
            </w:r>
          </w:p>
        </w:tc>
        <w:tc>
          <w:tcPr>
            <w:tcW w:type="dxa" w:w="11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15 điểm</w:t>
            </w:r>
          </w:p>
        </w:tc>
        <w:tc>
          <w:tcPr>
            <w:tcW w:type="dxa" w:w="27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Ví dụ căn cứ; cơ quan cấu hình theo tiêu chí/quy chế thuộc thẩm quyền.</w:t>
            </w:r>
          </w:p>
        </w:tc>
      </w:tr>
      <w:tr>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TC-V-01</w:t>
            </w:r>
          </w:p>
        </w:tc>
        <w:tc>
          <w:tcPr>
            <w:tcW w:type="dxa" w:w="2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Tiến độ giải quyết hồ sơ thủ tục hành chính được giao</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Khối II (Nhiệm vụ)</w:t>
            </w:r>
          </w:p>
        </w:tc>
        <w:tc>
          <w:tcPr>
            <w:tcW w:type="dxa" w:w="11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30 điểm</w:t>
            </w:r>
          </w:p>
        </w:tc>
        <w:tc>
          <w:tcPr>
            <w:tcW w:type="dxa" w:w="27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Nguồn minh chứng cần cấu hình theo hệ thống và nhiệm vụ thực tế của cơ quan.</w:t>
            </w:r>
          </w:p>
        </w:tc>
      </w:tr>
      <w:tr>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TC-V-02</w:t>
            </w:r>
          </w:p>
        </w:tc>
        <w:tc>
          <w:tcPr>
            <w:tcW w:type="dxa" w:w="2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Chất lượng thẩm định văn bản và hồ sơ tham mưu</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Khối II (Nhiệm vụ)</w:t>
            </w:r>
          </w:p>
        </w:tc>
        <w:tc>
          <w:tcPr>
            <w:tcW w:type="dxa" w:w="11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25 điểm</w:t>
            </w:r>
          </w:p>
        </w:tc>
        <w:tc>
          <w:tcPr>
            <w:tcW w:type="dxa" w:w="27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Nguồn minh chứng cần cấu hình theo hệ thống và nhiệm vụ thực tế của cơ quan.</w:t>
            </w:r>
          </w:p>
        </w:tc>
      </w:tr>
      <w:tr>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TC-V-03</w:t>
            </w:r>
          </w:p>
        </w:tc>
        <w:tc>
          <w:tcPr>
            <w:tcW w:type="dxa" w:w="2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Mức độ hài lòng của công dân, tổ chức phục vụ</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Khối II (Nhiệm vụ)</w:t>
            </w:r>
          </w:p>
        </w:tc>
        <w:tc>
          <w:tcPr>
            <w:tcW w:type="dxa" w:w="11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15 điểm</w:t>
            </w:r>
          </w:p>
        </w:tc>
        <w:tc>
          <w:tcPr>
            <w:tcW w:type="dxa" w:w="27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Nguồn minh chứng cần cấu hình theo hệ thống và nhiệm vụ thực tế của cơ quan.</w:t>
            </w:r>
          </w:p>
        </w:tc>
      </w:tr>
    </w:tbl>
    <w:p>
      <w:pPr>
        <w:pStyle w:val="Heading2"/>
        <w:spacing w:after="80" w:before="180"/>
        <w:jc w:val="left"/>
      </w:pPr>
      <w:r>
        <w:rPr>
          <w:rFonts w:ascii="Times New Roman" w:cs="Times New Roman" w:eastAsia="Times New Roman" w:hAnsi="Times New Roman"/>
          <w:b/>
          <w:bCs/>
          <w:color w:val="000000"/>
          <w:sz w:val="26"/>
          <w:szCs w:val="26"/>
        </w:rPr>
        <w:t xml:space="preserve">Tóm tắt Chương 1</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Chương 1 tổng hợp phương pháp quản trị doanh nghiệp và căn cứ khu vực công thành hai chế độ riêng, làm cơ sở cho mô hình yêu cầu. Điểm KPI nội bộ doanh nghiệp không đồng nhất với kết quả xếp loại công chức, viên chức.</w:t>
      </w:r>
    </w:p>
    <w:p>
      <w:pPr>
        <w:pageBreakBefore/>
        <w:spacing/>
        <w:ind w:firstLine="720"/>
        <w:jc w:val="both"/>
      </w:pPr>
      <w:r>
        <w:rPr>
          <w:rFonts w:ascii="Times New Roman" w:cs="Times New Roman" w:eastAsia="Times New Roman" w:hAnsi="Times New Roman"/>
          <w:b/>
          <w:bCs/>
          <w:color w:val="000000"/>
          <w:sz w:val="30"/>
          <w:szCs w:val="30"/>
        </w:rPr>
        <w:t xml:space="preserve">CHƯƠNG 2: PHÂN TÍCH VÀ THIẾT KẾ HỆ THỐNG THÔNG TIN ĐÁNH GIÁ KPI</w:t>
      </w:r>
    </w:p>
    <w:p>
      <w:pPr>
        <w:pStyle w:val="Heading1"/>
        <w:spacing w:after="100" w:before="240"/>
        <w:jc w:val="left"/>
      </w:pPr>
      <w:r>
        <w:rPr>
          <w:rFonts w:ascii="Times New Roman" w:cs="Times New Roman" w:eastAsia="Times New Roman" w:hAnsi="Times New Roman"/>
          <w:b/>
          <w:bCs/>
          <w:color w:val="000000"/>
          <w:sz w:val="28"/>
          <w:szCs w:val="28"/>
        </w:rPr>
        <w:t xml:space="preserve">2.1. Phân tích các yêu cầu nghiệp vụ của hệ thống</w:t>
      </w:r>
    </w:p>
    <w:p>
      <w:pPr>
        <w:spacing/>
        <w:ind w:firstLine="720"/>
        <w:jc w:val="both"/>
      </w:pPr>
      <w:r>
        <w:rPr>
          <w:rFonts w:ascii="Times New Roman" w:cs="Times New Roman" w:eastAsia="Times New Roman" w:hAnsi="Times New Roman"/>
          <w:b w:val="false"/>
          <w:bCs w:val="false"/>
          <w:i w:val="false"/>
          <w:iCs w:val="false"/>
          <w:color w:val="000000"/>
          <w:sz w:val="26"/>
          <w:szCs w:val="26"/>
        </w:rPr>
        <w:t>Hệ thống được mô hình hóa thành hai chế độ loại trừ lẫn nhau tại một thời điểm cấu hình: doanh nghiệp tư nhân dùng KPI/KRA và phản hồi 360 theo hồ sơ vai trò; khu vực công dùng điểm tiêu chí chung 30% và kết quả nhiệm vụ 70%, sau đó cần bước kết luận/hiệu chuẩn của cấp có thẩm quyền. Kỳ đánh giá lưu ảnh chụp chế độ tại thời điểm tạo để việc đổi cấu hình không làm thay đổi kỳ đã mở.</w:t>
      </w:r>
    </w:p>
    <w:p>
      <w:pPr>
        <w:spacing/>
        <w:ind w:firstLine="720"/>
        <w:jc w:val="both"/>
      </w:pPr>
      <w:r>
        <w:rPr>
          <w:rFonts w:ascii="Times New Roman" w:cs="Times New Roman" w:eastAsia="Times New Roman" w:hAnsi="Times New Roman"/>
          <w:b w:val="false"/>
          <w:bCs w:val="false"/>
          <w:i w:val="false"/>
          <w:iCs w:val="false"/>
          <w:color w:val="000000"/>
          <w:sz w:val="26"/>
          <w:szCs w:val="26"/>
        </w:rPr>
        <w:t>Yêu cầu doanh nghiệp (phương án): phân rã mục tiêu, giao KPI, đính kèm minh chứng, chấm điểm theo trọng số vai trò và xuất báo cáo. Kết nối ERP/MES, chống gian lận nâng cao, bảng điều khiển thời gian thực và P3 là hạng mục đề xuất; HRMS đang có KRA, minh chứng, điểm và phản hồi 360 nhưng chưa có các kết nối hoặc xuất P3 này.</w:t>
      </w:r>
    </w:p>
    <w:p>
      <w:pPr>
        <w:spacing/>
        <w:ind w:firstLine="720"/>
        <w:jc w:val="both"/>
      </w:pPr>
      <w:r>
        <w:rPr>
          <w:rFonts w:ascii="Times New Roman" w:cs="Times New Roman" w:eastAsia="Times New Roman" w:hAnsi="Times New Roman"/>
          <w:b w:val="false"/>
          <w:bCs w:val="false"/>
          <w:i w:val="false"/>
          <w:iCs w:val="false"/>
          <w:color w:val="000000"/>
          <w:sz w:val="26"/>
          <w:szCs w:val="26"/>
        </w:rPr>
        <w:t>Yêu cầu khu vực công (phương án): tách loại công chức/viên chức, dùng căn cứ 335/2025 hoặc 233/2026, chấm 30/70, lưu quyết định cuối cùng theo nhóm nhiệm vụ tương đồng và kiểm tra tỷ lệ 20%/ngoại lệ tối đa 25% theo quyết định có thẩm quyền. HRMS hiện đã có chế độ đánh giá 30/70 và màn hình lưu kết luận/kiểm tra tỷ lệ cho chu kỳ khu vực công; biểu mẫu pháp quy chính thức, chữ ký số, luồng hội đồng và tích hợp hệ thống công vụ chưa được triển khai đầy đủ.</w:t>
      </w:r>
    </w:p>
    <w:p>
      <w:pPr>
        <w:spacing/>
        <w:ind w:firstLine="720"/>
        <w:jc w:val="both"/>
      </w:pPr>
      <w:r>
        <w:rPr>
          <w:rFonts w:ascii="Times New Roman" w:cs="Times New Roman" w:eastAsia="Times New Roman" w:hAnsi="Times New Roman"/>
          <w:b w:val="false"/>
          <w:bCs w:val="false"/>
          <w:i w:val="false"/>
          <w:iCs w:val="false"/>
          <w:color w:val="000000"/>
          <w:sz w:val="26"/>
          <w:szCs w:val="26"/>
        </w:rPr>
        <w:t>Yêu cầu phi chức năng nêu trong báo cáo (99,9%, API dưới 200 ms, 10.000 thông điệp/giây) là mục tiêu thiết kế giả định cần được đo bằng kiểm thử tải và theo dõi vận hành; không phải cam kết SLA hay số liệu đo của HRMS hiện tại.</w:t>
      </w:r>
    </w:p>
    <w:p>
      <w:pPr>
        <w:pStyle w:val="Heading1"/>
        <w:spacing w:after="100" w:before="240"/>
        <w:jc w:val="left"/>
      </w:pPr>
      <w:r>
        <w:rPr>
          <w:rFonts w:ascii="Times New Roman" w:cs="Times New Roman" w:eastAsia="Times New Roman" w:hAnsi="Times New Roman"/>
          <w:b/>
          <w:bCs/>
          <w:color w:val="000000"/>
          <w:sz w:val="28"/>
          <w:szCs w:val="28"/>
        </w:rPr>
        <w:t xml:space="preserve">2.2. Phân tích cấu trúc hệ thống</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Cấu trúc tĩnh của hệ thống được mô hình hóa hướng đối tượng bằng bốn biểu đồ kỹ thuật chuyên biệt:</w:t>
      </w:r>
    </w:p>
    <w:p>
      <w:pPr>
        <w:spacing w:after="60" w:before="180"/>
        <w:jc w:val="center"/>
      </w:pPr>
      <w:r>
        <w:drawing>
          <wp:inline distT="0" distB="0" distL="0" distR="0">
            <wp:extent cx="5486400" cy="28041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2804160"/>
                    </a:xfrm>
                    <a:prstGeom prst="rect">
                      <a:avLst/>
                    </a:prstGeom>
                  </pic:spPr>
                </pic:pic>
              </a:graphicData>
            </a:graphic>
          </wp:inline>
        </w:drawing>
      </w:r>
    </w:p>
    <w:p>
      <w:pPr>
        <w:spacing w:after="180" w:before="40"/>
        <w:jc w:val="center"/>
      </w:pPr>
      <w:r>
        <w:t>Hình 2.1: Sơ đồ phân cấp tác nhân tham gia đánh giá</w:t>
      </w:r>
    </w:p>
    <w:p>
      <w:pPr>
        <w:spacing/>
        <w:ind w:firstLine="720"/>
        <w:jc w:val="both"/>
      </w:pPr>
      <w:r>
        <w:t>Sơ đồ phân vai ở mức khái niệm. Trong HRMS hiện tại, quyền thao tác phụ thuộc vai trò và cấu hình tổ chức; các vai trò chuyên trách, hội đồng, cổng dịch vụ công và hệ thống ngoài chỉ là phạm vi mở rộng, chưa được xem là tích hợp đang chạy.</w:t>
      </w:r>
    </w:p>
    <w:p>
      <w:pPr>
        <w:spacing w:after="60" w:before="180"/>
        <w:jc w:val="center"/>
      </w:pPr>
      <w:r>
        <w:drawing>
          <wp:inline distT="0" distB="0" distL="0" distR="0">
            <wp:extent cx="5486400" cy="344424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44240"/>
                    </a:xfrm>
                    <a:prstGeom prst="rect">
                      <a:avLst/>
                    </a:prstGeom>
                  </pic:spPr>
                </pic:pic>
              </a:graphicData>
            </a:graphic>
          </wp:inline>
        </w:drawing>
      </w:r>
    </w:p>
    <w:p>
      <w:pPr>
        <w:spacing w:after="180" w:before="40"/>
        <w:jc w:val="center"/>
      </w:pPr>
      <w:r>
        <w:t>Hình 2.2: Biểu đồ Use Case tổng quan đánh giá hiệu quả công việc</w:t>
      </w:r>
    </w:p>
    <w:p>
      <w:pPr>
        <w:spacing/>
        <w:ind w:firstLine="720"/>
        <w:jc w:val="both"/>
      </w:pPr>
      <w:r>
        <w:t>Use Case mô tả chức năng đánh giá ở mức nghiệp vụ. Chế độ doanh nghiệp và chế độ công vụ được cấu hình tách biệt; quy tắc xếp loại, tỷ lệ và thẩm quyền công vụ chỉ áp dụng cho đúng nhóm đối tượng theo văn bản hiện hành, tuyệt đối không áp sang KPI doanh nghiệp. Kết nối ERP/MES, P3, khiếu nại trực tuyến và ký số là phần mở rộng chưa có trong HRMS đang đối chiếu.</w:t>
      </w:r>
    </w:p>
    <w:p>
      <w:pPr>
        <w:spacing w:after="60" w:before="180"/>
        <w:jc w:val="center"/>
      </w:pPr>
      <w:r>
        <w:drawing>
          <wp:inline distT="0" distB="0" distL="0" distR="0">
            <wp:extent cx="54864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2743200"/>
                    </a:xfrm>
                    <a:prstGeom prst="rect">
                      <a:avLst/>
                    </a:prstGeom>
                  </pic:spPr>
                </pic:pic>
              </a:graphicData>
            </a:graphic>
          </wp:inline>
        </w:drawing>
      </w:r>
    </w:p>
    <w:p>
      <w:pPr>
        <w:spacing w:after="180" w:before="40"/>
        <w:jc w:val="center"/>
      </w:pPr>
      <w:r>
        <w:t>Hình 2.3: Sơ đồ gói nghiệp vụ đánh giá KPI (UML Package Diagram)</w:t>
      </w:r>
    </w:p>
    <w:p>
      <w:pPr>
        <w:spacing/>
        <w:ind w:firstLine="720"/>
        <w:jc w:val="both"/>
      </w:pPr>
      <w:r>
        <w:t>Sơ đồ phân biệt các tầng phần mềm hiện có với các phần mở rộng. Tích hợp ERP/MES, cổng công vụ, ký số và P3 là phương án đề xuất; chưa có trong mã nguồn được đối chiếu.</w:t>
      </w:r>
    </w:p>
    <w:p>
      <w:pPr>
        <w:spacing w:after="60" w:before="180"/>
        <w:jc w:val="center"/>
      </w:pPr>
      <w:r>
        <w:drawing>
          <wp:inline distT="0" distB="0" distL="0" distR="0">
            <wp:extent cx="5486400" cy="3962399"/>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962399"/>
                    </a:xfrm>
                    <a:prstGeom prst="rect">
                      <a:avLst/>
                    </a:prstGeom>
                  </pic:spPr>
                </pic:pic>
              </a:graphicData>
            </a:graphic>
          </wp:inline>
        </w:drawing>
      </w:r>
    </w:p>
    <w:p>
      <w:pPr>
        <w:spacing w:after="180" w:before="40"/>
        <w:jc w:val="center"/>
      </w:pPr>
      <w:r>
        <w:t>Hình 2.4: Sơ đồ lớp rút gọn theo mô hình dữ liệu HRMS</w:t>
      </w:r>
    </w:p>
    <w:p>
      <w:pPr>
        <w:spacing/>
        <w:ind w:firstLine="720"/>
        <w:jc w:val="both"/>
      </w:pPr>
      <w:r>
        <w:t>Sơ đồ lớp rút gọn minh họa các thực thể đang được dùng ở phân hệ đánh giá. HRMS dùng các model Prisma chia sẻ với những phân hệ nhân sự khác; sơ đồ không đại diện toàn bộ 95 model và không phải một schema KPI 26 bảng độc lập.</w:t>
      </w:r>
    </w:p>
    <w:p>
      <w:pPr>
        <w:pStyle w:val="Heading1"/>
        <w:spacing w:after="100" w:before="240"/>
        <w:jc w:val="left"/>
      </w:pPr>
      <w:r>
        <w:rPr>
          <w:rFonts w:ascii="Times New Roman" w:cs="Times New Roman" w:eastAsia="Times New Roman" w:hAnsi="Times New Roman"/>
          <w:b/>
          <w:bCs/>
          <w:color w:val="000000"/>
          <w:sz w:val="28"/>
          <w:szCs w:val="28"/>
        </w:rPr>
        <w:t xml:space="preserve">2.3. Phân tích hành vi của hệ thống</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Hành vi động và các quy trình luân chuyển dữ liệu được đặc tả chi tiết qua ba biểu đồ tương tác:</w:t>
      </w:r>
    </w:p>
    <w:p>
      <w:pPr>
        <w:spacing w:after="60" w:before="180"/>
        <w:jc w:val="center"/>
      </w:pPr>
      <w:r>
        <w:drawing>
          <wp:inline distT="0" distB="0" distL="0" distR="0">
            <wp:extent cx="5486400" cy="310896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3108960"/>
                    </a:xfrm>
                    <a:prstGeom prst="rect">
                      <a:avLst/>
                    </a:prstGeom>
                  </pic:spPr>
                </pic:pic>
              </a:graphicData>
            </a:graphic>
          </wp:inline>
        </w:drawing>
      </w:r>
    </w:p>
    <w:p>
      <w:pPr>
        <w:spacing w:after="180" w:before="40"/>
        <w:jc w:val="center"/>
      </w:pPr>
      <w:r>
        <w:t>Hình 2.5: Biểu đồ tuần tự tự đánh giá, phản hồi và tính điểm doanh nghiệp</w:t>
      </w:r>
    </w:p>
    <w:p>
      <w:pPr>
        <w:spacing/>
        <w:ind w:firstLine="720"/>
        <w:jc w:val="both"/>
      </w:pPr>
      <w:r>
        <w:rPr>
          <w:rFonts w:ascii="Times New Roman" w:cs="Times New Roman" w:eastAsia="Times New Roman" w:hAnsi="Times New Roman"/>
          <w:b w:val="false"/>
          <w:bCs w:val="false"/>
          <w:i w:val="false"/>
          <w:iCs w:val="false"/>
          <w:color w:val="000000"/>
          <w:sz w:val="26"/>
          <w:szCs w:val="26"/>
        </w:rPr>
        <w:t>Biểu đồ tuần tự là luồng mục tiêu minh họa. Trong phần mềm hiện tại, người dùng tạo kỳ, mục tiêu KRA, nhập điểm/minh chứng; nhánh doanh nghiệp tính điểm theo hồ sơ vai trò. Nạp số liệu tác nghiệp tự động và thông báo kết quả thời gian thực từ hệ thống ngoài chưa được triển khai.</w:t>
      </w:r>
    </w:p>
    <w:p>
      <w:pPr>
        <w:spacing w:after="60" w:before="180"/>
        <w:jc w:val="center"/>
      </w:pPr>
      <w:r>
        <w:drawing>
          <wp:inline distT="0" distB="0" distL="0" distR="0">
            <wp:extent cx="5486400" cy="359664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596640"/>
                    </a:xfrm>
                    <a:prstGeom prst="rect">
                      <a:avLst/>
                    </a:prstGeom>
                  </pic:spPr>
                </pic:pic>
              </a:graphicData>
            </a:graphic>
          </wp:inline>
        </w:drawing>
      </w:r>
    </w:p>
    <w:p>
      <w:pPr>
        <w:spacing w:after="180" w:before="40"/>
        <w:jc w:val="center"/>
      </w:pPr>
      <w:r>
        <w:t>Hình 2.6: Quy trình đánh giá khu vực công theo căn cứ áp dụng năm 2026</w:t>
      </w:r>
    </w:p>
    <w:p>
      <w:pPr>
        <w:spacing/>
        <w:ind w:firstLine="720"/>
        <w:jc w:val="both"/>
      </w:pPr>
      <w:r>
        <w:t>Đây là quy trình tham chiếu cho chế độ công vụ, cần cấu hình theo thẩm quyền và văn bản áp dụng cho từng nhóm đối tượng. Không dùng luồng này cho doanh nghiệp tư nhân. HRMS hiện hỗ trợ cấu hình chế độ, tính điểm 30/70, ghi nhận kết luận và kiểm tra tỷ lệ; hồ sơ thẩm định, quyết định theo thẩm quyền, biểu mẫu pháp quy và ký số cần được triển khai, kiểm chứng riêng trước khi xem là quy trình hoàn chỉnh.</w:t>
      </w:r>
    </w:p>
    <w:p>
      <w:pPr>
        <w:spacing w:after="60" w:before="180"/>
        <w:jc w:val="center"/>
      </w:pPr>
      <w:r>
        <w:drawing>
          <wp:inline distT="0" distB="0" distL="0" distR="0">
            <wp:extent cx="5486400" cy="21336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2133600"/>
                    </a:xfrm>
                    <a:prstGeom prst="rect">
                      <a:avLst/>
                    </a:prstGeom>
                  </pic:spPr>
                </pic:pic>
              </a:graphicData>
            </a:graphic>
          </wp:inline>
        </w:drawing>
      </w:r>
    </w:p>
    <w:p>
      <w:pPr>
        <w:spacing w:after="180" w:before="40"/>
        <w:jc w:val="center"/>
      </w:pPr>
      <w:r>
        <w:t>Hình 2.7: Biểu đồ trạng thái chu kỳ đánh giá HRMS hiện tại</w:t>
      </w:r>
    </w:p>
    <w:p>
      <w:pPr>
        <w:spacing/>
        <w:ind w:firstLine="720"/>
        <w:jc w:val="both"/>
      </w:pPr>
      <w:r>
        <w:t>Trong mã nguồn hiện tại, chu kỳ đánh giá chỉ có hai trạng thái ACTIVE và COMPLETED. Các bước khiếu nại, hội đồng, ký ban hành và lưu hồ sơ công vụ chưa được triển khai thành vòng đời trạng thái đầy đủ.</w:t>
      </w:r>
    </w:p>
    <w:p>
      <w:pPr>
        <w:pStyle w:val="Heading1"/>
        <w:spacing w:after="100" w:before="240"/>
        <w:jc w:val="left"/>
      </w:pPr>
      <w:r>
        <w:rPr>
          <w:rFonts w:ascii="Times New Roman" w:cs="Times New Roman" w:eastAsia="Times New Roman" w:hAnsi="Times New Roman"/>
          <w:b/>
          <w:bCs/>
          <w:color w:val="000000"/>
          <w:sz w:val="28"/>
          <w:szCs w:val="28"/>
        </w:rPr>
        <w:t xml:space="preserve">2.4. Thiết kế hệ thống</w:t>
      </w:r>
    </w:p>
    <w:p>
      <w:pPr>
        <w:spacing w:after="60" w:before="180"/>
        <w:jc w:val="center"/>
      </w:pPr>
      <w:r>
        <w:drawing>
          <wp:inline distT="0" distB="0" distL="0" distR="0">
            <wp:extent cx="5486400" cy="298704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987040"/>
                    </a:xfrm>
                    <a:prstGeom prst="rect">
                      <a:avLst/>
                    </a:prstGeom>
                  </pic:spPr>
                </pic:pic>
              </a:graphicData>
            </a:graphic>
          </wp:inline>
        </w:drawing>
      </w:r>
    </w:p>
    <w:p>
      <w:pPr>
        <w:spacing w:after="180" w:before="40"/>
        <w:jc w:val="center"/>
      </w:pPr>
      <w:r>
        <w:t>Hình 2.8: Kiến trúc HRMS hiện tại và điểm tích hợp đề xuất</w:t>
      </w:r>
    </w:p>
    <w:p>
      <w:pPr>
        <w:spacing/>
        <w:ind w:firstLine="720"/>
        <w:jc w:val="both"/>
      </w:pPr>
      <w:r>
        <w:t>HRMS hiện tại gồm giao diện web Next.js/React, API nghiệp vụ NestJS và PostgreSQL qua Prisma. Sơ đồ thể hiện ba tầng để giải thích kiến trúc đang đối chiếu; ERP/MES, cổng e-Gov, ký số và P3 nằm ở phần mở rộng đề xuất. Năng lực chịu tải và độ trễ chưa được đo, nên các ngưỡng trong yêu cầu phi chức năng là mục tiêu cần kiểm thử, không phải số liệu vận hành đã xác nhận.</w:t>
      </w:r>
    </w:p>
    <w:p>
      <w:pPr>
        <w:pStyle w:val="Heading2"/>
        <w:keepNext/>
        <w:spacing w:after="80" w:before="180"/>
        <w:jc w:val="left"/>
      </w:pPr>
      <w:r>
        <w:t>2.4.1. Mô hình dữ liệu đề xuất và đối chiếu HRMS hiện tại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Bảng 2.1 là mô hình dữ liệu quan hệ giả định do báo cáo đề xuất để thảo luận một hệ KPI độc lập. Đây không phải cấu trúc cơ sở dữ liệu triển khai của HRMS hiện tại, vốn dùng PostgreSQL/Prisma với các mô hình dùng chung cho nhiều phân hệ nhân sự.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2600"/>
        <w:gridCol w:w="1400"/>
        <w:gridCol w:w="2271"/>
      </w:tblGrid>
      <w:tr>
        <w:trPr>
          <w:tblHeader/>
        </w:trPr>
        <w:tc>
          <w:tcPr>
            <w:tcW w:type="dxa" w:w="6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STT</w:t>
            </w:r>
          </w:p>
        </w:tc>
        <w:tc>
          <w:tcPr>
            <w:tcW w:type="dxa" w:w="2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Tên bảng cơ sở dữ liệu</w:t>
            </w:r>
          </w:p>
        </w:tc>
        <w:tc>
          <w:tcPr>
            <w:tcW w:type="dxa" w:w="26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Chức năng lưu trữ nghiệp vụ</w:t>
            </w:r>
          </w:p>
        </w:tc>
        <w:tc>
          <w:tcPr>
            <w:tcW w:type="dxa" w:w="14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Khóa chính</w:t>
            </w:r>
          </w:p>
        </w:tc>
        <w:tc>
          <w:tcPr>
            <w:tcW w:type="dxa" w:w="22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Khóa ngoại liên kết tiêu biểu</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Danh khoản người dùng, mã nhân viên hoặc công chức, mật khẩu mã hóa</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position_id, unit_id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roles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Danh mục vai trò kiểm soát truy cập trong hệ thống</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(VARCHAR)</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Không có</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3</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user_roles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Bảng phân quyền vai trò cho người dùng trong đơn vị</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 role_id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users.id, roles.id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4</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organization_units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Cơ cấu tổ chức bộ máy: Phòng ban, phân xưởng, cơ quan hành chính</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parent_unit_id (Phân cấp cây)</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5</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positions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Danh mục vị trí chức danh công tác và đề án vị trí việc làm</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Không có</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6</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evaluation_periods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Danh mục các chu kỳ đánh giá hiệu quả (Tháng, Quý, Năm)</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Không có</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7</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kpi_dictionaries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Thư viện danh mục các chỉ số đo lường hiệu quả chuẩn hóa</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unit_id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8</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kpi_assignments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Phân bổ giao chỉ tiêu và trọng số cho từng cá nhân trong kỳ</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 period_id, kpi_id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9</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kpi_daily_logs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Nhật ký ghi nhận dữ liệu tác nghiệp thời gian thực từ máy móc/DVC</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assignment_id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10</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performance_sheets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Phiếu tổng hợp kết quả đánh giá cá nhân theo từng chu kỳ</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 period_id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11</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kpi_score_details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Chi tiết điểm số từng chỉ số thành phần trên phiếu đánh giá</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 assignment_id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12</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public_general_criteria_scores (đề xuất)</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Điểm tiêu chí chung theo NĐ 335/2025 hoặc 233/2026 (khu vực công)</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13</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feedback_360_reviews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Bản ghi nhận xét và chấm điểm đa chiều từ đồng nghiệp</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 reviewer_id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14</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initiatives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Hồ sơ đăng ký đề án đổi mới sáng tạo theo Kết luận 14-KL/TW</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 period_id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15</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calibration_records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Nhật ký lưu trữ biên bản hiệu chuẩn điểm số của Hội đồng</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 council_member_id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16</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public_calibration_decisions (đề xuất)</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Lưu quyết định hiệu chuẩn và rà tỷ lệ xuất sắc 20%/ngoại lệ tối đa 25%; chỉ dùng khu vực công</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unit_id, period_id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17</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performance_appeals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Đơn khiếu nại kết quả đánh giá và tiến trình xác minh xử lý</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 appellant_id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18</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planned_enterprise_p3_exports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Đầu ra tích hợp P3 doanh nghiệp theo quy chế; hạng mục đề xuất, chưa có trong HRMS hiện tại</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19</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pip_plans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Kế hoạch hành động cải thiện hiệu suất cho nhân sự chưa đạt</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 supervisor_id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20</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idp_plans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Kế hoạch bồi dưỡng và phát triển năng lực cá nhân</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21</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audit_logs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Nhật ký kiểm toán truy vết mọi thao tác thêm, sửa, xóa dữ liệu</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(BIGSERIAL)</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22</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fraud_alerts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Báo cáo cảnh báo các sự kiện bất thường nghi vấn gian lận số liệu</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log_id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23</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cascading_nodes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Cây mục tiêu phân rã từ cấp lãnh đạo cao nhất xuống cá nhân</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parent_node_id, period_id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24</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csat_kiosk_feedbacks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Dữ liệu khảo sát ý kiến người dân tại thiết bị cảm ứng Một cửa</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officer_id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25</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evidence_attachments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Tệp tin hồ sơ tài liệu minh chứng đính kèm phiếu đánh giá</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26</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system_configs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Tham số cấu hình hệ thống: Ngưỡng sàn, trần và tỷ lệ pháp lý</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config_key</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Không có</w:t>
            </w:r>
          </w:p>
        </w:tc>
      </w:tr>
    </w:tbl>
    <w:p>
      <w:pPr>
        <w:spacing w:after="60" w:before="180"/>
        <w:jc w:val="center"/>
      </w:pPr>
      <w:r>
        <w:drawing>
          <wp:inline distT="0" distB="0" distL="0" distR="0">
            <wp:extent cx="5486400" cy="377952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779520"/>
                    </a:xfrm>
                    <a:prstGeom prst="rect">
                      <a:avLst/>
                    </a:prstGeom>
                  </pic:spPr>
                </pic:pic>
              </a:graphicData>
            </a:graphic>
          </wp:inline>
        </w:drawing>
      </w:r>
    </w:p>
    <w:p>
      <w:pPr>
        <w:spacing w:after="180" w:before="40"/>
        <w:jc w:val="center"/>
      </w:pPr>
      <w:r>
        <w:t>Hình 2.9: ERD rút gọn cho phân hệ đánh giá HRMS</w:t>
      </w:r>
    </w:p>
    <w:p>
      <w:pPr>
        <w:spacing/>
        <w:ind w:firstLine="720"/>
        <w:jc w:val="both"/>
      </w:pPr>
      <w:r>
        <w:t>ERD thể hiện một phần các bảng/model hiện có liên quan đến chu kỳ, mục tiêu, minh chứng, phản hồi và quyết định đánh giá. Đây là sơ đồ rút gọn, không bao quát toàn bộ schema Prisma; hiệu năng chỉ có thể kết luận sau khi đo trên dữ liệu và môi trường đại diện.</w:t>
      </w:r>
    </w:p>
    <w:p>
      <w:pPr>
        <w:pStyle w:val="Heading2"/>
        <w:spacing w:after="80" w:before="180"/>
        <w:jc w:val="left"/>
      </w:pPr>
      <w:r>
        <w:rPr>
          <w:rFonts w:ascii="Times New Roman" w:cs="Times New Roman" w:eastAsia="Times New Roman" w:hAnsi="Times New Roman"/>
          <w:b/>
          <w:bCs/>
          <w:color w:val="000000"/>
          <w:sz w:val="26"/>
          <w:szCs w:val="26"/>
        </w:rPr>
        <w:t xml:space="preserve">Tóm tắt Chương 2</w:t>
      </w:r>
    </w:p>
    <w:p>
      <w:pPr>
        <w:spacing w:after="120" w:before="0" w:line="312"/>
        <w:ind w:firstLine="450"/>
        <w:jc w:val="both"/>
      </w:pPr>
      <w:r>
        <w:t>Chương 2 trình bày yêu cầu, tác nhân, luồng đánh giá và mô hình dữ liệu liên quan. Các sơ đồ phân biệt chức năng đã có trong HRMS với phần công vụ và tích hợp mở rộng cần triển khai; Bảng 2.1 chỉ là mô hình tham khảo, không mô tả schema đang chạy.</w:t>
      </w:r>
    </w:p>
    <w:p>
      <w:pPr>
        <w:pageBreakBefore/>
        <w:spacing/>
        <w:ind w:firstLine="720"/>
        <w:jc w:val="both"/>
      </w:pPr>
      <w:r>
        <w:rPr>
          <w:rFonts w:ascii="Times New Roman" w:cs="Times New Roman" w:eastAsia="Times New Roman" w:hAnsi="Times New Roman"/>
          <w:b/>
          <w:bCs/>
          <w:color w:val="000000"/>
          <w:sz w:val="30"/>
          <w:szCs w:val="30"/>
        </w:rPr>
        <w:t xml:space="preserve">CHƯƠNG 3: KẾT QUẢ ĐẠT ĐƯỢC, KẾ HOẠCH TRIỂN KHAI VÀ HƯỚNG PHÁT TRIỂN</w:t>
      </w:r>
    </w:p>
    <w:p>
      <w:pPr>
        <w:pStyle w:val="Heading1"/>
        <w:spacing w:after="100" w:before="240"/>
        <w:jc w:val="left"/>
      </w:pPr>
      <w:r>
        <w:rPr>
          <w:rFonts w:ascii="Times New Roman" w:cs="Times New Roman" w:eastAsia="Times New Roman" w:hAnsi="Times New Roman"/>
          <w:b/>
          <w:bCs/>
          <w:color w:val="000000"/>
          <w:sz w:val="28"/>
          <w:szCs w:val="28"/>
        </w:rPr>
        <w:t xml:space="preserve">3.1. Những kết quả đạt được của đề tài</w:t>
      </w:r>
    </w:p>
    <w:p>
      <w:pPr>
        <w:spacing/>
        <w:ind w:firstLine="720"/>
        <w:jc w:val="both"/>
      </w:pPr>
      <w:r>
        <w:rPr>
          <w:rFonts w:ascii="Times New Roman" w:cs="Times New Roman" w:eastAsia="Times New Roman" w:hAnsi="Times New Roman"/>
          <w:b w:val="false"/>
          <w:bCs w:val="false"/>
          <w:i w:val="false"/>
          <w:iCs w:val="false"/>
          <w:color w:val="000000"/>
          <w:sz w:val="26"/>
          <w:szCs w:val="26"/>
        </w:rPr>
        <w:t>Báo cáo đạt được các kết quả nghiên cứu và thiết kế sau; các nội dung dưới đây là sản phẩm học thuật/đề xuất, không phải nghiệm thu phần mềm đã triển khai:</w:t>
      </w:r>
    </w:p>
    <w:p>
      <w:pPr>
        <w:spacing/>
        <w:ind w:firstLine="720"/>
        <w:jc w:val="both"/>
      </w:pPr>
      <w:r>
        <w:rPr>
          <w:rFonts w:ascii="Times New Roman" w:cs="Times New Roman" w:eastAsia="Times New Roman" w:hAnsi="Times New Roman"/>
          <w:b w:val="false"/>
          <w:bCs w:val="false"/>
          <w:i w:val="false"/>
          <w:iCs w:val="false"/>
          <w:color w:val="000000"/>
          <w:sz w:val="26"/>
          <w:szCs w:val="26"/>
        </w:rPr>
        <w:t>Thứ nhất: Hệ thống hóa BSC, OKR, PDCA, 3P và tách căn cứ đánh giá công chức theo Nghị định 335/2025/NĐ-CP khỏi căn cứ viên chức theo Nghị định 233/2026/NĐ-CP. Kết luận 14-KL/TW được xem xét theo từng trường hợp, không tự động cộng điểm.</w:t>
      </w:r>
    </w:p>
    <w:p>
      <w:pPr>
        <w:spacing/>
        <w:ind w:firstLine="720"/>
        <w:jc w:val="both"/>
      </w:pPr>
      <w:r>
        <w:rPr>
          <w:rFonts w:ascii="Times New Roman" w:cs="Times New Roman" w:eastAsia="Times New Roman" w:hAnsi="Times New Roman"/>
          <w:b w:val="false"/>
          <w:bCs w:val="false"/>
          <w:i w:val="false"/>
          <w:iCs w:val="false"/>
          <w:color w:val="000000"/>
          <w:sz w:val="26"/>
          <w:szCs w:val="26"/>
        </w:rPr>
        <w:t>Thứ hai: Đề xuất mô hình công thức chuẩn hóa KPI, có thể dùng làm đầu vào quy chế nội bộ. Việc dùng kết quả cho P3 cần doanh nghiệp phê duyệt chính sách, đối soát dữ liệu và tích hợp riêng; HRMS hiện tại chưa nối tự động kết quả KPI sang lương.</w:t>
      </w:r>
    </w:p>
    <w:p>
      <w:pPr>
        <w:spacing/>
        <w:ind w:firstLine="720"/>
        <w:jc w:val="both"/>
      </w:pPr>
      <w:r>
        <w:rPr>
          <w:rFonts w:ascii="Times New Roman" w:cs="Times New Roman" w:eastAsia="Times New Roman" w:hAnsi="Times New Roman"/>
          <w:b w:val="false"/>
          <w:bCs w:val="false"/>
          <w:i w:val="false"/>
          <w:iCs w:val="false"/>
          <w:color w:val="000000"/>
          <w:sz w:val="26"/>
          <w:szCs w:val="26"/>
        </w:rPr>
        <w:t>Thứ ba: Hoàn thiện hồ sơ phân tích thiết kế gồm 9 sơ đồ UML/kiến trúc và mô hình CSDL 26 bảng. Các tích hợp ERP/MES/IoT, hàng đợi, chống gian lận và hiệu năng chưa được xây dựng hay kiểm chứng.</w:t>
      </w:r>
    </w:p>
    <w:p>
      <w:pPr>
        <w:pStyle w:val="Heading1"/>
        <w:spacing w:after="100" w:before="240"/>
        <w:jc w:val="left"/>
      </w:pPr>
      <w:r>
        <w:rPr>
          <w:rFonts w:ascii="Times New Roman" w:cs="Times New Roman" w:eastAsia="Times New Roman" w:hAnsi="Times New Roman"/>
          <w:b/>
          <w:bCs/>
          <w:color w:val="000000"/>
          <w:sz w:val="28"/>
          <w:szCs w:val="28"/>
        </w:rPr>
        <w:t xml:space="preserve">3.2. Kế hoạch triển khai hệ thống trong 16 tuần và Ma trận quản trị rủi ro</w:t>
      </w:r>
    </w:p>
    <w:p>
      <w:pPr>
        <w:pStyle w:val="Heading2"/>
        <w:spacing w:after="80" w:before="180"/>
        <w:jc w:val="left"/>
      </w:pPr>
      <w:r>
        <w:rPr>
          <w:rFonts w:ascii="Times New Roman" w:cs="Times New Roman" w:eastAsia="Times New Roman" w:hAnsi="Times New Roman"/>
          <w:b/>
          <w:bCs/>
          <w:color w:val="000000"/>
          <w:sz w:val="26"/>
          <w:szCs w:val="26"/>
        </w:rPr>
        <w:t xml:space="preserve">3.2.1. Kế hoạch phân bổ tiến độ triển khai trong 16 tuần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900"/>
        <w:gridCol w:w="2571"/>
      </w:tblGrid>
      <w:tr>
        <w:trPr>
          <w:tblHeader/>
        </w:trPr>
        <w:tc>
          <w:tcPr>
            <w:tcW w:type="dxa" w:w="2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Giai đoạn</w:t>
            </w:r>
          </w:p>
        </w:tc>
        <w:tc>
          <w:tcPr>
            <w:tcW w:type="dxa" w:w="14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Tuần thực hiện</w:t>
            </w:r>
          </w:p>
        </w:tc>
        <w:tc>
          <w:tcPr>
            <w:tcW w:type="dxa" w:w="29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Nội dung công việc trọng tâm</w:t>
            </w:r>
          </w:p>
        </w:tc>
        <w:tc>
          <w:tcPr>
            <w:tcW w:type="dxa" w:w="25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Sản phẩm đầu ra bàn giao</w:t>
            </w:r>
          </w:p>
        </w:tc>
      </w:tr>
      <w:tr>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Giai đoạn 1: Chuẩn hóa nghiệp vụ và CSDL</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1 - 2</w:t>
            </w:r>
          </w:p>
        </w:tc>
        <w:tc>
          <w:tcPr>
            <w:tcW w:type="dxa" w:w="2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Khảo sát thực địa, chuẩn hóa từ điển chỉ số, ban hành quy chế đánh giá nội bộ</w:t>
            </w:r>
          </w:p>
        </w:tc>
        <w:tc>
          <w:tcPr>
            <w:tcW w:type="dxa" w:w="2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Quy chế đánh giá nội bộ; Danh mục từ điển chỉ số</w:t>
            </w:r>
          </w:p>
        </w:tc>
      </w:tr>
      <w:tr>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3 - 4</w:t>
            </w:r>
          </w:p>
        </w:tc>
        <w:tc>
          <w:tcPr>
            <w:tcW w:type="dxa" w:w="2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Khởi tạo cơ sở dữ liệu 26 bảng, cấu hình đối tượng ánh xạ dữ liệu, kiểm thử mô hình</w:t>
            </w:r>
          </w:p>
        </w:tc>
        <w:tc>
          <w:tcPr>
            <w:tcW w:type="dxa" w:w="2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Tập lệnh khởi tạo CSDL; Bộ dữ liệu mẫu chuẩn hóa</w:t>
            </w:r>
          </w:p>
        </w:tc>
      </w:tr>
      <w:tr>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Giai đoạn 2: Phát triển dịch vụ lõi và Tác nghiệp</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5 - 6</w:t>
            </w:r>
          </w:p>
        </w:tc>
        <w:tc>
          <w:tcPr>
            <w:tcW w:type="dxa" w:w="2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Xây dựng cổng giao diện kết nối dữ liệu thời gian thực qua hàng đợi xử lý ngầm</w:t>
            </w:r>
          </w:p>
        </w:tc>
        <w:tc>
          <w:tcPr>
            <w:tcW w:type="dxa" w:w="2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Đường ống nạp dữ liệu chạy ngầm; Tài liệu đặc tả API</w:t>
            </w:r>
          </w:p>
        </w:tc>
      </w:tr>
      <w:tr>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7 - 8</w:t>
            </w:r>
          </w:p>
        </w:tc>
        <w:tc>
          <w:tcPr>
            <w:tcW w:type="dxa" w:w="2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Lập trình công cụ tính toán điểm số và thuật toán kiểm soát trần Nghị định 335/2025 và 233/2026 (chỉ khu vực công)</w:t>
            </w:r>
          </w:p>
        </w:tc>
        <w:tc>
          <w:tcPr>
            <w:tcW w:type="dxa" w:w="2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Bộ dịch vụ tính điểm hoàn chỉnh; Độ phủ kiểm thử 90%</w:t>
            </w:r>
          </w:p>
        </w:tc>
      </w:tr>
      <w:tr>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Giai đoạn 3: Phát triển giao diện và Tích hợp</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9 - 10</w:t>
            </w:r>
          </w:p>
        </w:tc>
        <w:tc>
          <w:tcPr>
            <w:tcW w:type="dxa" w:w="2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Xây dựng cổng thông tin quản trị trên Web và ứng dụng di động tự phục vụ nhân viên</w:t>
            </w:r>
          </w:p>
        </w:tc>
        <w:tc>
          <w:tcPr>
            <w:tcW w:type="dxa" w:w="2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Cổng thông tin Web và Ứng dụng di động phiên bản thử nghiệm</w:t>
            </w:r>
          </w:p>
        </w:tc>
      </w:tr>
      <w:tr>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11 - 12</w:t>
            </w:r>
          </w:p>
        </w:tc>
        <w:tc>
          <w:tcPr>
            <w:tcW w:type="dxa" w:w="2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Phát triển không gian hiệu chuẩn trực quan và tích hợp đồng bộ dữ liệu tiền lương</w:t>
            </w:r>
          </w:p>
        </w:tc>
        <w:tc>
          <w:tcPr>
            <w:tcW w:type="dxa" w:w="2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Màn hình hiệu chuẩn khu vực công; thiết kế connector P3 doanh nghiệp (đề xuất)</w:t>
            </w:r>
          </w:p>
        </w:tc>
      </w:tr>
      <w:tr>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Giai đoạn 4: Thử nghiệm diện hẹp và Chuyển giao</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13 - 14</w:t>
            </w:r>
          </w:p>
        </w:tc>
        <w:tc>
          <w:tcPr>
            <w:tcW w:type="dxa" w:w="2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Chạy thử nghiệm tại một phân xưởng sản xuất và một phòng chuyên môn cơ quan</w:t>
            </w:r>
          </w:p>
        </w:tc>
        <w:tc>
          <w:tcPr>
            <w:tcW w:type="dxa" w:w="2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Báo cáo đánh giá thử nghiệm; Hiệu chỉnh hiệu năng</w:t>
            </w:r>
          </w:p>
        </w:tc>
      </w:tr>
      <w:tr>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15 - 16</w:t>
            </w:r>
          </w:p>
        </w:tc>
        <w:tc>
          <w:tcPr>
            <w:tcW w:type="dxa" w:w="2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Đào tạo chuyển giao toàn bộ người dùng, nghiệm thu kỹ thuật và vận hành chính thức</w:t>
            </w:r>
          </w:p>
        </w:tc>
        <w:tc>
          <w:tcPr>
            <w:tcW w:type="dxa" w:w="2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Kế hoạch nghiệm thu và chuyển giao sau khi triển khai thực tế</w:t>
            </w:r>
          </w:p>
        </w:tc>
      </w:tr>
    </w:tbl>
    <w:p>
      <w:pPr>
        <w:pStyle w:val="Heading2"/>
        <w:spacing w:after="80" w:before="180"/>
        <w:jc w:val="left"/>
      </w:pPr>
      <w:r>
        <w:rPr>
          <w:rFonts w:ascii="Times New Roman" w:cs="Times New Roman" w:eastAsia="Times New Roman" w:hAnsi="Times New Roman"/>
          <w:b/>
          <w:bCs/>
          <w:color w:val="000000"/>
          <w:sz w:val="26"/>
          <w:szCs w:val="26"/>
        </w:rPr>
        <w:t xml:space="preserve">3.2.2. Ma trận nhận diện và quản trị rủi ro triển khai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900"/>
        <w:gridCol w:w="900"/>
        <w:gridCol w:w="4171"/>
      </w:tblGrid>
      <w:tr>
        <w:trPr>
          <w:tblHeader/>
        </w:trPr>
        <w:tc>
          <w:tcPr>
            <w:tcW w:type="dxa" w:w="8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Mã số</w:t>
            </w:r>
          </w:p>
        </w:tc>
        <w:tc>
          <w:tcPr>
            <w:tcW w:type="dxa" w:w="23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Tên rủi ro nhận diện</w:t>
            </w:r>
          </w:p>
        </w:tc>
        <w:tc>
          <w:tcPr>
            <w:tcW w:type="dxa" w:w="9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Mức độ</w:t>
            </w:r>
          </w:p>
        </w:tc>
        <w:tc>
          <w:tcPr>
            <w:tcW w:type="dxa" w:w="9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Tác động</w:t>
            </w:r>
          </w:p>
        </w:tc>
        <w:tc>
          <w:tcPr>
            <w:tcW w:type="dxa" w:w="41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Biện pháp phòng ngừa và xử lý rủi ro</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RR-01</w:t>
            </w:r>
          </w:p>
        </w:tc>
        <w:tc>
          <w:tcPr>
            <w:tcW w:type="dxa" w:w="23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Gian lận số liệu tác nghiệp hoặc thông đồng làm sai lệch kết quả</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Trung bình</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Rất cao</w:t>
            </w:r>
          </w:p>
        </w:tc>
        <w:tc>
          <w:tcPr>
            <w:tcW w:type="dxa" w:w="41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Kích hoạt kiểm tra chữ ký số, khóa trùng lặp, quét ngoại lai và lưu vết kiểm toán bất biến</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RR-02</w:t>
            </w:r>
          </w:p>
        </w:tc>
        <w:tc>
          <w:tcPr>
            <w:tcW w:type="dxa" w:w="23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Tâm lý e ngại thay đổi của nhân sự do lo sợ bị ảnh hưởng thu nhập</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Cao</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Cao</w:t>
            </w:r>
          </w:p>
        </w:tc>
        <w:tc>
          <w:tcPr>
            <w:tcW w:type="dxa" w:w="41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Áp dụng truyền thông minh bạch, bảo lưu lương cơ bản trong 3 tháng đầu, tăng cường đào tạo</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RR-03</w:t>
            </w:r>
          </w:p>
        </w:tc>
        <w:tc>
          <w:tcPr>
            <w:tcW w:type="dxa" w:w="23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Sai lệch tỷ lệ xếp loại xuất sắc trong nhóm công chức/viên chức</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Thấp</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Rất cao</w:t>
            </w:r>
          </w:p>
        </w:tc>
        <w:tc>
          <w:tcPr>
            <w:tcW w:type="dxa" w:w="41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Chỉ bật kiểm tra ở chế độ khu vực công; phân nhóm cùng đơn vị/nhiệm vụ tương đồng, lưu căn cứ và số quyết định ngoại lệ. Không áp dụng hạn ngạch cho doanh nghiệp.</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RR-04</w:t>
            </w:r>
          </w:p>
        </w:tc>
        <w:tc>
          <w:tcPr>
            <w:tcW w:type="dxa" w:w="23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Nghẽn mạng và quá tải hệ thống trong ngày cao điểm chốt đánh giá</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Trung bình</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Trung bình</w:t>
            </w:r>
          </w:p>
        </w:tc>
        <w:tc>
          <w:tcPr>
            <w:tcW w:type="dxa" w:w="41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Sử dụng bộ nhớ đệm phân tán, hàng đợi điều phối thông điệp và tự động mở rộng tài nguyên</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RR-05</w:t>
            </w:r>
          </w:p>
        </w:tc>
        <w:tc>
          <w:tcPr>
            <w:tcW w:type="dxa" w:w="23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Tranh chấp, khiếu nại kéo dài làm chậm tiến độ chi trả chế độ</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Trung bình</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Cao</w:t>
            </w:r>
          </w:p>
        </w:tc>
        <w:tc>
          <w:tcPr>
            <w:tcW w:type="dxa" w:w="41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Thiết lập phân hệ nộp đơn khiếu nại trực tuyến với thời hạn xử lý nghiêm ngặt 7 ngày làm việc</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RR-06</w:t>
            </w:r>
          </w:p>
        </w:tc>
        <w:tc>
          <w:tcPr>
            <w:tcW w:type="dxa" w:w="23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Rò rỉ thông tin đánh giá cá nhân và dữ liệu thu nhập nhạy cảm</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Thấp</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Rất cao</w:t>
            </w:r>
          </w:p>
        </w:tc>
        <w:tc>
          <w:tcPr>
            <w:tcW w:type="dxa" w:w="41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Mã hóa cơ sở dữ liệu, áp dụng xác thực đa yếu tố và phân quyền truy cập chặt chẽ theo vai trò</w:t>
            </w:r>
          </w:p>
        </w:tc>
      </w:tr>
    </w:tbl>
    <w:p>
      <w:pPr>
        <w:pStyle w:val="Heading1"/>
        <w:spacing w:after="100" w:before="240"/>
        <w:jc w:val="left"/>
      </w:pPr>
      <w:r>
        <w:rPr>
          <w:rFonts w:ascii="Times New Roman" w:cs="Times New Roman" w:eastAsia="Times New Roman" w:hAnsi="Times New Roman"/>
          <w:b/>
          <w:bCs/>
          <w:color w:val="000000"/>
          <w:sz w:val="28"/>
          <w:szCs w:val="28"/>
        </w:rPr>
        <w:t xml:space="preserve">3.3. Định hướng tích hợp công nghệ Trí tuệ nhân tạo (AI Engine Roadmap)</w:t>
      </w:r>
    </w:p>
    <w:p>
      <w:pPr>
        <w:spacing/>
        <w:ind w:firstLine="720"/>
        <w:jc w:val="both"/>
      </w:pPr>
      <w:r>
        <w:rPr>
          <w:rFonts w:ascii="Times New Roman" w:cs="Times New Roman" w:eastAsia="Times New Roman" w:hAnsi="Times New Roman"/>
          <w:b w:val="false"/>
          <w:bCs w:val="false"/>
          <w:i w:val="false"/>
          <w:iCs w:val="false"/>
          <w:color w:val="000000"/>
          <w:sz w:val="26"/>
          <w:szCs w:val="26"/>
        </w:rPr>
        <w:t>AI là lộ trình nghiên cứu đề xuất, chỉ xem xét sau khi dữ liệu hợp pháp, có chất lượng, có sự giám sát của người có thẩm quyền và đánh giá rủi ro; không phải chức năng hiện hành.</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Giai đoạn 1 (Ngắn hạn - 6 tháng): Ứng dụng mô hình học máy không giám sát để tự động phát hiện các dữ liệu ngoại lai và dấu hiệu gian lận sản lượng từ các dây chuyền sản xuất và hệ thống một cửa, gắn cờ cảnh báo tức thời cho đội ngũ thanh tra.</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Giai đoạn 2 (Trung hạn - 12 tháng): Triển khai hệ thống gợi ý giao chỉ tiêu thông minh dựa trên mô hình phân tích năng lực lịch sử của nhân viên và độ phức tạp của vị trí việc làm, bảo đảm mục tiêu đặt ra luôn sát thực và vừa sức.</w:t>
      </w:r>
    </w:p>
    <w:p>
      <w:pPr>
        <w:spacing/>
        <w:ind w:firstLine="720"/>
        <w:jc w:val="both"/>
      </w:pPr>
      <w:r>
        <w:rPr>
          <w:rFonts w:ascii="Times New Roman" w:cs="Times New Roman" w:eastAsia="Times New Roman" w:hAnsi="Times New Roman"/>
          <w:b w:val="false"/>
          <w:bCs w:val="false"/>
          <w:i w:val="false"/>
          <w:iCs w:val="false"/>
          <w:color w:val="000000"/>
          <w:sz w:val="26"/>
          <w:szCs w:val="26"/>
        </w:rPr>
        <w:t xml:space="preserve">Giai đoạn 3 (Dài hạn - 24 tháng): Xây dựng trợ lý ảo hỗ trợ tổng hợp báo cáo đánh giá tự động bằng mô hình ngôn ngữ lớn, giúp các cấp lãnh đạo soạn thảo nhận xét khách quan và tự động lập kế hoạch phát triển năng lực cá nhân cho nhân viên.</w:t>
      </w:r>
    </w:p>
    <w:p>
      <w:pPr>
        <w:pStyle w:val="Heading1"/>
        <w:spacing w:after="100" w:before="240"/>
        <w:jc w:val="left"/>
      </w:pPr>
      <w:r>
        <w:rPr>
          <w:rFonts w:ascii="Times New Roman" w:cs="Times New Roman" w:eastAsia="Times New Roman" w:hAnsi="Times New Roman"/>
          <w:b/>
          <w:bCs/>
          <w:color w:val="000000"/>
          <w:sz w:val="28"/>
          <w:szCs w:val="28"/>
        </w:rPr>
        <w:t xml:space="preserve">3.4. Khung chỉ dẫn phát triển hệ thống qua 8 phiên làm việc chuyên sâu</w:t>
      </w:r>
    </w:p>
    <w:p>
      <w:pPr>
        <w:spacing/>
        <w:ind w:firstLine="720"/>
        <w:jc w:val="both"/>
      </w:pPr>
      <w:r>
        <w:rPr>
          <w:rFonts w:ascii="Times New Roman" w:cs="Times New Roman" w:eastAsia="Times New Roman" w:hAnsi="Times New Roman"/>
          <w:b w:val="false"/>
          <w:bCs w:val="false"/>
          <w:i w:val="false"/>
          <w:iCs w:val="false"/>
          <w:color w:val="000000"/>
          <w:sz w:val="26"/>
          <w:szCs w:val="26"/>
        </w:rPr>
        <w:t>Tám phiên dưới đây là kế hoạch phát triển một sản phẩm KPI độc lập hoặc mở rộng HRMS sau khi có phê duyệt phạm vi, khảo sát tích hợp và thiết kế bảo mật; không mô tả tám hạng mục đã hoàn thành.</w:t>
      </w:r>
    </w:p>
    <w:p>
      <w:pPr>
        <w:spacing/>
        <w:ind w:firstLine="720"/>
        <w:jc w:val="both"/>
      </w:pPr>
      <w:r>
        <w:rPr>
          <w:rFonts w:ascii="Times New Roman" w:cs="Times New Roman" w:eastAsia="Times New Roman" w:hAnsi="Times New Roman"/>
          <w:b w:val="false"/>
          <w:bCs w:val="false"/>
          <w:i w:val="false"/>
          <w:iCs w:val="false"/>
          <w:color w:val="000000"/>
          <w:sz w:val="26"/>
          <w:szCs w:val="26"/>
        </w:rPr>
        <w:t>Phiên 1 - Rà soát và thiết kế lược đồ dữ liệu KPI; đối chiếu với các mô hình hiện có để tránh tạo dữ liệu nhân sự trùng lặp.</w:t>
      </w:r>
    </w:p>
    <w:p>
      <w:pPr>
        <w:spacing/>
        <w:ind w:firstLine="720"/>
        <w:jc w:val="both"/>
      </w:pPr>
      <w:r>
        <w:rPr>
          <w:rFonts w:ascii="Times New Roman" w:cs="Times New Roman" w:eastAsia="Times New Roman" w:hAnsi="Times New Roman"/>
          <w:b w:val="false"/>
          <w:bCs w:val="false"/>
          <w:i w:val="false"/>
          <w:iCs w:val="false"/>
          <w:color w:val="000000"/>
          <w:sz w:val="26"/>
          <w:szCs w:val="26"/>
        </w:rPr>
        <w:t>Phiên 2 - Khảo sát, thiết kế và thử nghiệm bộ kết nối dữ liệu với ERP/MES/DVC nếu có hệ thống nguồn, quyền truy cập và thỏa thuận tích hợp.</w:t>
      </w:r>
    </w:p>
    <w:p>
      <w:pPr>
        <w:spacing/>
        <w:ind w:firstLine="720"/>
        <w:jc w:val="both"/>
      </w:pPr>
      <w:r>
        <w:rPr>
          <w:rFonts w:ascii="Times New Roman" w:cs="Times New Roman" w:eastAsia="Times New Roman" w:hAnsi="Times New Roman"/>
          <w:b w:val="false"/>
          <w:bCs w:val="false"/>
          <w:i w:val="false"/>
          <w:iCs w:val="false"/>
          <w:color w:val="000000"/>
          <w:sz w:val="26"/>
          <w:szCs w:val="26"/>
        </w:rPr>
        <w:t>Phiên 3 - Đặc tả và kiểm chứng công thức tính điểm, dữ liệu thiếu, làm tròn, ngưỡng và vai trò phê duyệt.</w:t>
      </w:r>
    </w:p>
    <w:p>
      <w:pPr>
        <w:spacing/>
        <w:ind w:firstLine="720"/>
        <w:jc w:val="both"/>
      </w:pPr>
      <w:r>
        <w:rPr>
          <w:rFonts w:ascii="Times New Roman" w:cs="Times New Roman" w:eastAsia="Times New Roman" w:hAnsi="Times New Roman"/>
          <w:b w:val="false"/>
          <w:bCs w:val="false"/>
          <w:i w:val="false"/>
          <w:iCs w:val="false"/>
          <w:color w:val="000000"/>
          <w:sz w:val="26"/>
          <w:szCs w:val="26"/>
        </w:rPr>
        <w:t>Phiên 4 - Hoàn thiện hiệu chuẩn khu vực công theo Nghị định 335/2025 và 233/2026, bao gồm nhóm nhiệm vụ, điều kiện xếp loại, tỷ lệ 20% và ngoại lệ đến 25% có quyết định; không đưa hạn ngạch này vào nhánh doanh nghiệp.</w:t>
      </w:r>
    </w:p>
    <w:p>
      <w:pPr>
        <w:spacing/>
        <w:ind w:firstLine="720"/>
        <w:jc w:val="both"/>
      </w:pPr>
      <w:r>
        <w:rPr>
          <w:rFonts w:ascii="Times New Roman" w:cs="Times New Roman" w:eastAsia="Times New Roman" w:hAnsi="Times New Roman"/>
          <w:b w:val="false"/>
          <w:bCs w:val="false"/>
          <w:i w:val="false"/>
          <w:iCs w:val="false"/>
          <w:color w:val="000000"/>
          <w:sz w:val="26"/>
          <w:szCs w:val="26"/>
        </w:rPr>
        <w:t>Phiên 5 - Xem xét ứng dụng di động và kênh tự phục vụ sau khi thống nhất yêu cầu, quyền dữ liệu và nền tảng vận hành.</w:t>
      </w:r>
    </w:p>
    <w:p>
      <w:pPr>
        <w:spacing/>
        <w:ind w:firstLine="720"/>
        <w:jc w:val="both"/>
      </w:pPr>
      <w:r>
        <w:rPr>
          <w:rFonts w:ascii="Times New Roman" w:cs="Times New Roman" w:eastAsia="Times New Roman" w:hAnsi="Times New Roman"/>
          <w:b w:val="false"/>
          <w:bCs w:val="false"/>
          <w:i w:val="false"/>
          <w:iCs w:val="false"/>
          <w:color w:val="000000"/>
          <w:sz w:val="26"/>
          <w:szCs w:val="26"/>
        </w:rPr>
        <w:t>Phiên 6 - Bổ sung màn hình rà soát phân phối mức xếp loại, lưu lý do điều chỉnh và vết phê duyệt; không cho phép hiệu chuẩn tự động thay quyết định của người có thẩm quyền.</w:t>
      </w:r>
    </w:p>
    <w:p>
      <w:pPr>
        <w:spacing/>
        <w:ind w:firstLine="720"/>
        <w:jc w:val="both"/>
      </w:pPr>
      <w:r>
        <w:rPr>
          <w:rFonts w:ascii="Times New Roman" w:cs="Times New Roman" w:eastAsia="Times New Roman" w:hAnsi="Times New Roman"/>
          <w:b w:val="false"/>
          <w:bCs w:val="false"/>
          <w:i w:val="false"/>
          <w:iCs w:val="false"/>
          <w:color w:val="000000"/>
          <w:sz w:val="26"/>
          <w:szCs w:val="26"/>
        </w:rPr>
        <w:t>Phiên 7 - Chỉ đề xuất tích hợp P3 khi doanh nghiệp ban hành quy chế lương thưởng, nguyên tắc đối soát và quy trình phê duyệt; không dùng nhánh công vụ.</w:t>
      </w:r>
    </w:p>
    <w:p>
      <w:pPr>
        <w:spacing/>
        <w:ind w:firstLine="720"/>
        <w:jc w:val="both"/>
      </w:pPr>
      <w:r>
        <w:rPr>
          <w:rFonts w:ascii="Times New Roman" w:cs="Times New Roman" w:eastAsia="Times New Roman" w:hAnsi="Times New Roman"/>
          <w:b w:val="false"/>
          <w:bCs w:val="false"/>
          <w:i w:val="false"/>
          <w:iCs w:val="false"/>
          <w:color w:val="000000"/>
          <w:sz w:val="26"/>
          <w:szCs w:val="26"/>
        </w:rPr>
        <w:t>Phiên 8 - Kiểm thử công thức, phân quyền, bảo mật, tải và khôi phục; chỉ công bố năng lực sau khi có kết quả đo và biên bản nghiệm thu.</w:t>
      </w:r>
    </w:p>
    <w:p>
      <w:pPr>
        <w:pStyle w:val="Heading1"/>
        <w:spacing w:after="100" w:before="240"/>
        <w:jc w:val="left"/>
      </w:pPr>
      <w:r>
        <w:rPr>
          <w:rFonts w:ascii="Times New Roman" w:cs="Times New Roman" w:eastAsia="Times New Roman" w:hAnsi="Times New Roman"/>
          <w:b/>
          <w:bCs/>
          <w:color w:val="000000"/>
          <w:sz w:val="28"/>
          <w:szCs w:val="28"/>
        </w:rPr>
        <w:t xml:space="preserve">3.5. Đánh giá ưu điểm, hạn chế và khuyến nghị</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Ưu điểm nổi bật của hệ thống:</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Tính bao quát ở mức thiết kế: cùng một đề tài phân tích hai bối cảnh nhưng áp dụng quy tắc, màn hình và căn cứ riêng theo chế độ tổ chức.</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Tính kiểm chứng được: yêu cầu đề xuất nhấn mạnh minh chứng; thu thập tự động từ ERP/MES/IoT/Một cửa chỉ khả thi sau khi xây dựng và kiểm tra connector.</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Tính cập nhật pháp lý: mô hình phân biệt 335/2025 cho công chức và 233/2026 cho viên chức; cơ chế 20%/ngoại lệ 25% chỉ ở nhánh khu vực công. HRMS hiện có ghi quyết định và chặn vượt tỷ lệ, nhưng chưa thay thế toàn bộ biểu mẫu/quy trình công vụ của đơn vị.</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Hạn chế và thách thức thực tiễn:</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Phụ thuộc vào mức độ số hóa và quyền tích hợp: khi chưa có connector ERP/MES/DVC, minh chứng phải nhập hoặc nạp thủ công; dữ liệu minh họa trong báo cáo không chứng minh kết nối đã vận hành.</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xml:space="preserve">• Yêu cầu đào tạo và thay đổi văn hóa tổ chức: Đòi hỏi sự quyết tâm cao của người đứng đầu để chuyển đổi nhận thức từ tâm lý đánh giá cào bằng sang văn hóa đo lường hiệu suất thực chất.</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Khuyến nghị thực hiện:</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Đối với đơn vị công: ban hành quy chế, tiêu chí đầu ra, nhóm nhiệm vụ tương đồng, thẩm quyền kết luận, hồ sơ ngoại lệ và biểu mẫu tương ứng trước khi dùng phần mềm.</w:t>
      </w:r>
    </w:p>
    <w:p>
      <w:pPr>
        <w:spacing/>
        <w:ind w:left="504" w:hanging="288"/>
        <w:jc w:val="both"/>
      </w:pPr>
      <w:r>
        <w:rPr>
          <w:rFonts w:ascii="Times New Roman" w:cs="Times New Roman" w:eastAsia="Times New Roman" w:hAnsi="Times New Roman"/>
          <w:b w:val="false"/>
          <w:bCs w:val="false"/>
          <w:i w:val="false"/>
          <w:iCs w:val="false"/>
          <w:color w:val="000000"/>
          <w:sz w:val="26"/>
          <w:szCs w:val="26"/>
        </w:rPr>
        <w:t>• Đối với doanh nghiệp: xây dựng KPI theo vai trò và quy chế P3 riêng nếu muốn liên kết lương; thử nghiệm, đối soát và phê duyệt trước khi chi trả.</w:t>
      </w:r>
    </w:p>
    <w:p>
      <w:pPr>
        <w:pStyle w:val="Heading2"/>
        <w:spacing w:after="80" w:before="180"/>
        <w:jc w:val="left"/>
      </w:pPr>
      <w:r>
        <w:rPr>
          <w:rFonts w:ascii="Times New Roman" w:cs="Times New Roman" w:eastAsia="Times New Roman" w:hAnsi="Times New Roman"/>
          <w:b/>
          <w:bCs/>
          <w:color w:val="000000"/>
          <w:sz w:val="26"/>
          <w:szCs w:val="26"/>
        </w:rPr>
        <w:t xml:space="preserve">Tóm tắt Chương 3</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Chương 3 tóm tắt sản phẩm phân tích thiết kế và lộ trình khả thi. Tiến độ 16 tuần, AI, ứng dụng di động, tích hợp dữ liệu ngoài và nghiệm thu là kế hoạch tham khảo; chưa phải kết quả triển khai thực tế.</w:t>
      </w:r>
    </w:p>
    <w:p>
      <w:pPr>
        <w:pageBreakBefore/>
        <w:spacing w:after="180" w:before="240"/>
        <w:jc w:val="center"/>
      </w:pPr>
      <w:r>
        <w:rPr>
          <w:rFonts w:ascii="Times New Roman" w:cs="Times New Roman" w:eastAsia="Times New Roman" w:hAnsi="Times New Roman"/>
          <w:b/>
          <w:bCs/>
          <w:color w:val="000000"/>
          <w:sz w:val="30"/>
          <w:szCs w:val="30"/>
        </w:rPr>
        <w:t xml:space="preserve">TÀI LIỆU THAM KHẢO</w:t>
      </w:r>
    </w:p>
    <w:p>
      <w:pPr>
        <w:spacing w:after="120" w:before="0" w:line="312"/>
        <w:jc w:val="both"/>
      </w:pPr>
      <w:r>
        <w:rPr>
          <w:rFonts w:ascii="Times New Roman" w:cs="Times New Roman" w:eastAsia="Times New Roman" w:hAnsi="Times New Roman"/>
          <w:b/>
          <w:bCs/>
          <w:i w:val="false"/>
          <w:iCs w:val="false"/>
          <w:color w:val="000000"/>
          <w:sz w:val="26"/>
          <w:szCs w:val="26"/>
        </w:rPr>
        <w:t xml:space="preserve">VĂN BẢN QUY PHẠM PHÁP LUẬT VÀ NGHỊ QUYẾT</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 Quốc hội nước Cộng hòa xã hội chủ nghĩa Việt Nam (2008), Luật Cán bộ, công chức số 22/2008/QH12 ngày 13 tháng 11 năm 2008.</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 Quốc hội nước Cộng hòa xã hội chủ nghĩa Việt Nam (2010), Luật Viên chức số 58/2010/QH12 ngày 15 tháng 11 năm 2010.</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 Quốc hội nước Cộng hòa xã hội chủ nghĩa Việt Nam (2019), Luật sửa đổi, bổ sung một số điều của Luật Cán bộ, công chức và Luật Viên chức số 52/2019/QH14 ngày 25 tháng 11 năm 2019.</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4. Chính phủ (2025), Nghị định số 335/2025/NĐ-CP ngày 21/12/2025 quy định về đánh giá, xếp loại chất lượng đối với cơ quan hành chính nhà nước và công chức; hiệu lực 01/01/2026. https://vanban.chinhphu.vn/?classid=1&amp;docid=216292&amp;pageid=27160</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5. Chính phủ (2026), Nghị định số 233/2026/NĐ-CP ngày 26/06/2026 quy định về đánh giá, xếp loại chất lượng đối với đơn vị sự nghiệp công lập và viên chức; hiệu lực 01/07/2026. https://vanban.chinhphu.vn/?docid=218616&amp;pageid=27160</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6. Bộ Chính trị Ban Chấp hành Trung ương Đảng (2021), Kết luận số 14-KL/TW ngày 22 tháng 9 năm 2021 về chủ trương khuyến khích và bảo vệ cán bộ năng động, sáng tạo vì lợi ích chung.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7. Cổng Thông tin điện tử Chính phủ, toàn văn và thông tin hướng dẫn thi hành Nghị định 335/2025/NĐ-CP và Nghị định 233/2026/NĐ-CP (truy cập ngày 05/10/2026).</w:t>
      </w:r>
    </w:p>
    <w:p>
      <w:pPr>
        <w:spacing w:after="120" w:before="0" w:line="312"/>
        <w:jc w:val="both"/>
      </w:pPr>
      <w:r>
        <w:rPr>
          <w:rFonts w:ascii="Times New Roman" w:cs="Times New Roman" w:eastAsia="Times New Roman" w:hAnsi="Times New Roman"/>
          <w:b/>
          <w:bCs/>
          <w:i w:val="false"/>
          <w:iCs w:val="false"/>
          <w:color w:val="000000"/>
          <w:sz w:val="26"/>
          <w:szCs w:val="26"/>
        </w:rPr>
        <w:t xml:space="preserve">SÁCH GIÁO TRÌNH VÀ TÀI LIỆU CHUYÊN KHẢO</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8. Kaplan, R. S., &amp; Norton, D. P. (1996), The Balanced Scorecard: Translating Strategy into Action, Harvard Business Review Press, Boston.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9. Parmenter, D. (2015), Key Performance Indicators: Developing, Implementing, and Using Winning KPIs, 3rd Edition, John Wiley &amp; Sons, New Jersey.</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10. Doerr, J. (2018), Measure What Matters: How Google, Bono, and the Gates Foundation Rock the World with OKRs, Portfolio/Penguin, New York.</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11. Học viện Hành chính và Quản trị công (2022), Giáo trình Hệ thống thông tin quản lý nguồn nhân lực, NXB Chính trị Quốc gia Sự thật, Hà Nội.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12. Hoàng Minh Ngọc (2024), Bài giảng Phân tích và Thiết kế hệ thống thông tin hướng đối tượng với UML, Học viện Hành chính và Quản trị công, Hà Nội.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13. Dennis, A., Wixom, B. H., &amp; Tegarden, D. (2015), Systems Analysis and Design: An Object-Oriented Approach with UML, 5th Edition, John Wiley &amp; Sons, New York.</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14. Sommerville, I. (2016), Software Engineering, 10th Edition, Pearson Education, London.</w:t>
      </w:r>
    </w:p>
    <w:sectPr>
      <w:footerReference w:type="default" r:id="rId6"/>
      <w:pgSz w:w="11906" w:h="16838" w:orient="portrait"/>
      <w:pgMar w:top="1134" w:right="1134" w:bottom="1134" w:left="1701"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docDefaults>
  <w:style w:type="paragraph" w:styleId="Normal" w:default="1">
    <w:name w:val="Normal"/>
    <w:qFormat/>
    <w:pPr>
      <w:ind w:firstLine="720"/>
      <w:jc w:val="both"/>
    </w:pPr>
    <w:rPr>
      <w:rFonts w:ascii="Times New Roman" w:hAnsi="Times New Roman"/>
      <w:sz w:val="26"/>
    </w:r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0bca51023a6a23a3deb110caf90ca51f5a252a5.png"/><Relationship Id="rId9" Type="http://schemas.openxmlformats.org/officeDocument/2006/relationships/image" Target="media/90da9db9d094266bee08767cc1e3adde31336e82.png"/><Relationship Id="rId10" Type="http://schemas.openxmlformats.org/officeDocument/2006/relationships/image" Target="media/470658dc9c44a5974709f44aee10b13fd3f319a5.png"/><Relationship Id="rId11" Type="http://schemas.openxmlformats.org/officeDocument/2006/relationships/image" Target="media/a0b093a1185df72bbd3d0a40a140f493fd0dc442.png"/><Relationship Id="rId12" Type="http://schemas.openxmlformats.org/officeDocument/2006/relationships/image" Target="media/d46d583933863ccce7c5b1b7e84fe96189b19e61.png"/><Relationship Id="rId13" Type="http://schemas.openxmlformats.org/officeDocument/2006/relationships/image" Target="media/d967439e705eb8a785486ce4d38e89e46e5d4642.png"/><Relationship Id="rId14" Type="http://schemas.openxmlformats.org/officeDocument/2006/relationships/image" Target="media/d68e854ec6d69ae8198480ff74a9db32cb9ba907.png"/><Relationship Id="rId15" Type="http://schemas.openxmlformats.org/officeDocument/2006/relationships/image" Target="media/60efa396f7bea208123c7b12d5d931e82a582547.png"/><Relationship Id="rId16" Type="http://schemas.openxmlformats.org/officeDocument/2006/relationships/image" Target="media/1cf0cd59e8742c6208dd089a28bfd24f0eabfb7a.png"/><Relationship Id="rId17" Type="http://schemas.openxmlformats.org/officeDocument/2006/relationships/fontTable" Target="fontTable.xm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2026-09-28T18:21:39.701Z</dcterms:created>
  <dcterms:modified xsi:type="dcterms:W3CDTF">2026-09-28T18:21:39.702Z</dcterms:modified>
</cp:coreProperties>
</file>

<file path=docProps/custom.xml><?xml version="1.0" encoding="utf-8"?>
<Properties xmlns="http://schemas.openxmlformats.org/officeDocument/2006/custom-properties" xmlns:vt="http://schemas.openxmlformats.org/officeDocument/2006/docPropsVTypes"/>
</file>