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Alexa Amundson</w:t>
      </w:r>
      <w:r w:rsidDel="00000000" w:rsidR="00000000" w:rsidRPr="00000000">
        <w:rPr>
          <w:rtl w:val="0"/>
        </w:rPr>
        <w:t xml:space="preserve"> Lakeville, MN | (507) 828-0842 | amundsonalexa@gmail.com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[Date]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Hiring Committee [Target AI-Forward Advisory Firm] [Address]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RE: Bridging Agentic AI Infrastructure with FINRA Compliance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Dear Hiring Team,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Most financial firms view AI as a productivity tool; I view it as an infrastructure challenge where the stakes are regulatory survival.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am writing to express my interest in joining [Company Name]. I offer a rare </w:t>
      </w:r>
      <w:r w:rsidDel="00000000" w:rsidR="00000000" w:rsidRPr="00000000">
        <w:rPr>
          <w:b w:val="1"/>
          <w:bCs w:val="1"/>
          <w:rtl w:val="0"/>
        </w:rPr>
        <w:t xml:space="preserve">"Bridge Profile"</w:t>
      </w:r>
      <w:r w:rsidDel="00000000" w:rsidR="00000000" w:rsidRPr="00000000">
        <w:rPr>
          <w:rtl w:val="0"/>
        </w:rPr>
        <w:t xml:space="preserve">: I am a Series 7, 63, and 65 licensed professional who also architects and operates a 7-node distributed AI cluster capable of orchestrating 30,000+ agents. While many can build AI "wrappers," few can build agentic systems that satisfy a FINRA audit.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BlackRoad OS</w:t>
      </w:r>
      <w:r w:rsidDel="00000000" w:rsidR="00000000" w:rsidRPr="00000000">
        <w:rPr>
          <w:rtl w:val="0"/>
        </w:rPr>
        <w:t xml:space="preserve">, I developed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PS-SHA-∞ cryptographic audit trail</w:t>
      </w:r>
      <w:r w:rsidDel="00000000" w:rsidR="00000000" w:rsidRPr="00000000">
        <w:rPr>
          <w:rtl w:val="0"/>
        </w:rPr>
        <w:t xml:space="preserve"> specifically to solve the "black box" problem of AI. In an industry where record-keeping is non-negotiable, I have engineered systems where every automated data movement is immutable and verifiable. My current production environment maintains 74+ days of verified uptime across 27+ Docker containers, proving that enterprise-scale automation doesn't have to come at the expense of stability.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 technical capabilities are grounded in a proven track record of sales and advisory performance: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 Securian Financial:</w:t>
      </w:r>
      <w:r w:rsidDel="00000000" w:rsidR="00000000" w:rsidRPr="00000000">
        <w:rPr>
          <w:rtl w:val="0"/>
        </w:rPr>
        <w:t xml:space="preserve"> I generated </w:t>
      </w:r>
      <w:r w:rsidDel="00000000" w:rsidR="00000000" w:rsidRPr="00000000">
        <w:rPr>
          <w:b w:val="1"/>
          <w:bCs w:val="1"/>
          <w:rtl w:val="0"/>
        </w:rPr>
        <w:t xml:space="preserve">$23M+ in sales</w:t>
      </w:r>
      <w:r w:rsidDel="00000000" w:rsidR="00000000" w:rsidRPr="00000000">
        <w:rPr>
          <w:rtl w:val="0"/>
        </w:rPr>
        <w:t xml:space="preserve"> during my first year by translating complex product mechanics into advisor-friendly guidance.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 Ameriprise Financial:</w:t>
      </w:r>
      <w:r w:rsidDel="00000000" w:rsidR="00000000" w:rsidRPr="00000000">
        <w:rPr>
          <w:rtl w:val="0"/>
        </w:rPr>
        <w:t xml:space="preserve"> I identified </w:t>
      </w:r>
      <w:r w:rsidDel="00000000" w:rsidR="00000000" w:rsidRPr="00000000">
        <w:rPr>
          <w:b w:val="1"/>
          <w:bCs w:val="1"/>
          <w:rtl w:val="0"/>
        </w:rPr>
        <w:t xml:space="preserve">$18.4M in new AUM</w:t>
      </w:r>
      <w:r w:rsidDel="00000000" w:rsidR="00000000" w:rsidRPr="00000000">
        <w:rPr>
          <w:rtl w:val="0"/>
        </w:rPr>
        <w:t xml:space="preserve"> by applying data-mining techniques to legacy CRM structures.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Performance Engineering:</w:t>
      </w:r>
      <w:r w:rsidDel="00000000" w:rsidR="00000000" w:rsidRPr="00000000">
        <w:rPr>
          <w:rtl w:val="0"/>
        </w:rPr>
        <w:t xml:space="preserve"> I have consistently improved practice efficiency, including deploying automations that saved my advisory teams </w:t>
      </w:r>
      <w:r w:rsidDel="00000000" w:rsidR="00000000" w:rsidRPr="00000000">
        <w:rPr>
          <w:b w:val="1"/>
          <w:bCs w:val="1"/>
          <w:rtl w:val="0"/>
        </w:rPr>
        <w:t xml:space="preserve">40+ hours per month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am looking to bring this dual-competency to a firm that is moving beyond the "experimentation" phase of AI and into the "deployment" phase. I understand the nuances of suitability analysis and SEC/FINRA record-keeping just as well as I understand vLLM inference optimization and DAG-based orchestration.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would welcome the opportunity to demo my infrastructure live or discuss how we can build a compliance-first AI roadmap for your firm. Thank you for your time and consideration.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Alexa Amundson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