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AD_03_CONFRONTATIONAL_RECOGNITION.MD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Identity Reframing / Layer 3 Strategy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Transparency vs. Dependency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--asset="AD_03"</w:t>
        <w:br w:type="textWrapping"/>
        <w:t xml:space="preserve">[SYSTEM] :: Loading psychological hooks...</w:t>
        <w:br w:type="textWrapping"/>
        <w:t xml:space="preserve">[SYSTEM] :: Target: High-Esteem / Professional Autonomy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A plain, neutral background. No interface elements. No product shots.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 human face, slightly out of focus, captured mid-thought. The expression is one of slight skepticism or deep analysis—the look of an "Operator" noticing a flaw.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[HEADLINE]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explain your tools… or do they just work to you?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[BODY_COPY]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technology can’t be explained anymore. Not because it’s complex — but because it’s not designed to be understood.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You’re expected to trust outputs you didn’t choose, logic you can’t inspect, and decisions you didn’t make.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That’s not intelligence. That’s dependency.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[THE_REFRAME]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if tools worked like extensions of judgment — not replacements for it?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if understanding wasn’t optional?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Built for people who still want to know why.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[MICRO_TAG]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Routing intelligence. Keeping agency.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Trigger:</w:t>
      </w:r>
      <w:r w:rsidDel="00000000" w:rsidR="00000000" w:rsidRPr="00000000">
        <w:rPr>
          <w:rtl w:val="0"/>
        </w:rPr>
        <w:t xml:space="preserve"> Triggers the "Expertise Anxiety"—the fear that one's own skill is being eclipsed by an opaque black box.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It lets the reader self-identify ("Yeah... I actually can't explain how that AI got that answer") and shifts the blame from the user to the design philosophy of the tool.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Positions BlackRoad as the "pro-expert" choice in a market full of "pro-automation" tools.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03 validated.</w:t>
        <w:br w:type="textWrapping"/>
        <w:t xml:space="preserve">[SYSTEM]  :: Vector shift required for next asset. </w:t>
        <w:br w:type="textWrapping"/>
        <w:t xml:space="preserve">[OPTIONS] :: [4: Timeline/Karen] [5: Brutal Clarity] [6: Emotional Relief] [7: Founder Voice]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