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AD_05_BRUTAL_MINIMALISM.MD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Values-Based Filter / Layer 3 Strategy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Trust vs. Surrender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--asset="AD_05"</w:t>
        <w:br w:type="textWrapping"/>
        <w:t xml:space="preserve">[SYSTEM] :: Purging excessive narrative...</w:t>
        <w:br w:type="textWrapping"/>
        <w:t xml:space="preserve">[SYSTEM] :: Target: The Sovereign Professional / High-Agency Operator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Solid matte black (#000000).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Small, high-contrast white text, perfectly centered.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Maximum negative space to emphasize the weight of the statement.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[CENTER_COPY]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tool needs you to trust it, it should also let you understand it.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[SUBTEXT]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(Small, 8pt font, centered below main copy)</w:t>
      </w:r>
      <w:r w:rsidDel="00000000" w:rsidR="00000000" w:rsidRPr="00000000">
        <w:rPr>
          <w:rtl w:val="0"/>
        </w:rPr>
        <w:t xml:space="preserve"> Most don’t.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Intelligence you don’t have to surrender to.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Psychographic Trigger:</w:t>
      </w:r>
      <w:r w:rsidDel="00000000" w:rsidR="00000000" w:rsidRPr="00000000">
        <w:rPr>
          <w:rtl w:val="0"/>
        </w:rPr>
        <w:t xml:space="preserve"> Addresses "Cognitive Sovereignty." It targets the deep-seated discomfort professionals feel when they are forced to use "black box" systems.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This is a "Scroll-Stopper" through visual silence. It invites immediate self-selection; those who value agency will feel an instant affinity for the brand.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Implicitly critiques the entire "Black Box AI" industry without naming a single competitor. It frames understanding as a moral/professional requirement rather than a feature.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05 validated.</w:t>
        <w:br w:type="textWrapping"/>
        <w:t xml:space="preserve">[SYSTEM]  :: System equilibrium reached. </w:t>
        <w:br w:type="textWrapping"/>
        <w:t xml:space="preserve">[OPTIONS] :: [6: The Anti-CTA] [7: Authority Voice] [8: Objection-First] [9: Poetic/Uncomfortable]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