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9.6895790100098" w:lineRule="auto"/>
        <w:ind w:left="1315.0595092773438" w:right="8299.921875" w:hanging="25.43930053710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Packaging design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Packaging: the silent salesperson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0333251953125" w:line="274.8900032043457" w:lineRule="auto"/>
        <w:ind w:left="1457.6188659667969" w:right="2720.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used deliberately, but ‘makes sense’ to  consumers when it is used correctly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0601196289062" w:line="274.8900032043457" w:lineRule="auto"/>
        <w:ind w:left="2115.5783081054688" w:right="1295.8837890625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pgSz w:h="10800" w:w="14400" w:orient="landscape"/>
          <w:pgMar w:bottom="0" w:top="1010.0750732421875" w:left="0" w:right="406.61743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● Are not consciously perceived as persuasive cues ○ Heuristics!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1872463226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010.07507324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369150" cy="32531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150" cy="32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233801" cy="30440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01" cy="304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19726" cy="242312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726" cy="24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647450" cy="264745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50" cy="264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Cognition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1787109375" w:line="240" w:lineRule="auto"/>
        <w:ind w:left="1288.06030273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Traditional view: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297.0602416992188" w:right="2149.64111328125" w:firstLine="18.0000305175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Language and cognition is facilitated by abstract representations of  concepts in the brain.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54455566406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Embodied cognition: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0" w:right="877.4243164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Thinking occurs in the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whole body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The senses are an extension of the brain.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Power and height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010.0750732421875" w:left="0" w:right="406.617431640625" w:header="0" w:footer="720"/>
          <w:cols w:equalWidth="0" w:num="1">
            <w:col w:space="0" w:w="13993.38256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Warmth and personality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Types of embodiment in design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9.9645996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Anthropomorphism &amp;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1898264</wp:posOffset>
            </wp:positionH>
            <wp:positionV relativeFrom="paragraph">
              <wp:posOffset>-700562</wp:posOffset>
            </wp:positionV>
            <wp:extent cx="2197075" cy="2197075"/>
            <wp:effectExtent b="0" l="0" r="0" t="0"/>
            <wp:wrapSquare wrapText="left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075" cy="2197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1898264</wp:posOffset>
            </wp:positionH>
            <wp:positionV relativeFrom="paragraph">
              <wp:posOffset>-784762</wp:posOffset>
            </wp:positionV>
            <wp:extent cx="4659130" cy="4081300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130" cy="40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familiarity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5.9176635742188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Meaningful sensory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4379671</wp:posOffset>
            </wp:positionH>
            <wp:positionV relativeFrom="paragraph">
              <wp:posOffset>-354964</wp:posOffset>
            </wp:positionV>
            <wp:extent cx="1448475" cy="1458175"/>
            <wp:effectExtent b="0" l="0" r="0" t="0"/>
            <wp:wrapSquare wrapText="left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475" cy="145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experiences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6.01806640625" w:line="235.6200027465820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Image schemas &amp;  symbolism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3.3493041992188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Embodiment in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010.0750732421875" w:left="571.986083984375" w:right="620.726318359375" w:header="0" w:footer="720"/>
          <w:cols w:equalWidth="0" w:num="2">
            <w:col w:space="0" w:w="6620"/>
            <w:col w:space="0" w:w="66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movement and action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223801" cy="28432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801" cy="28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00600" cy="534560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600" cy="534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 influence of shape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17871093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010.07507324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Association between shape and healthiness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4.5483398437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Results of study by van Ooijen and colleagues: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Design (shape) serves as healthiness cue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Design can make healthy foods more appealing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can serve as a cue that facilitates identification on the shelf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effect of design is goal-dependent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Health-relevant versus hedonic goal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0.90545654296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97314453125" w:line="240" w:lineRule="auto"/>
        <w:ind w:left="1447.657928466796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Due this Thursday (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23rd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595.256500244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595.256500244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Reading response #11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47.657928466796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Next week (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27 - May 1st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595.256500244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 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315.256500244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Monday 9 am - Friday 5 pm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449.82001304626465" w:lineRule="auto"/>
        <w:ind w:left="1427.8578186035156" w:right="5840.1251220703125" w:firstLine="887.3986816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75 minutes to complete the exam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Rating of Teaching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May 3</w:t>
      </w:r>
    </w:p>
    <w:sectPr>
      <w:type w:val="continuous"/>
      <w:pgSz w:h="10800" w:w="14400" w:orient="landscape"/>
      <w:pgMar w:bottom="0" w:top="1010.0750732421875" w:left="0" w:right="406.617431640625" w:header="0" w:footer="720"/>
      <w:cols w:equalWidth="0" w:num="1">
        <w:col w:space="0" w:w="13993.3825683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