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AD_14_CONFESSIONAL_RECOGNITION.MD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Internal Monologue / Recognition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Cognitive Sovereignty vs. Diminishment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--asset="AD_14"</w:t>
        <w:br w:type="textWrapping"/>
        <w:t xml:space="preserve">[SYSTEM] :: Accessing private operator logs...</w:t>
        <w:br w:type="textWrapping"/>
        <w:t xml:space="preserve">[SYSTEM] :: Target: High-Agency Professionals / The Self-Aware Elite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 still, contemplative shot in soft, natural morning light.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An empty chair by a window, or a hand resting on a physical notebook.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Absolute absence of screens, glowing lights, or hardware. The image should feel human, quiet, and timeless.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[COPY]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Sometimes you wonder if the tools are getting smarter…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if you’re just getting quieter.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don’t say it out loud. You keep using them. You keep moving.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But you notice the difference.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Don’t go quiet.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"Implicit Competence Loss." It names a forbidden fear: that the price of modern efficiency is the slow erosion of one's own voice and analytical sharpness.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This ad acts as a mirror. It doesn't tell the user what to think; it simply repeats back to them a thought they have already had. This creates a deep bond of trust, positioning BlackRoad not as a vendor, but as a protector of the user's "volume."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It reframes the "Chatty" and "Helpful" nature of AI competitors as something that silences the user. BlackRoad is positioned as the system that stays quiet so the operator can remain loud.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14 validated.</w:t>
        <w:br w:type="textWrapping"/>
        <w:t xml:space="preserve">[SYSTEM]  :: Cognitive volume: High. Resonance: Deep.</w:t>
        <w:br w:type="textWrapping"/>
        <w:t xml:space="preserve">[OPTIONS] :: [15: Self-Respect Sales] [16: End-of-Era] [17: Silence] [18: The Rule]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