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B9" w:rsidRPr="00A0026D" w:rsidRDefault="00DE54B9" w:rsidP="0057220C">
      <w:pPr>
        <w:ind w:rightChars="-92" w:right="-221"/>
        <w:jc w:val="center"/>
        <w:rPr>
          <w:rFonts w:asciiTheme="majorHAnsi" w:hAnsiTheme="majorHAnsi" w:cstheme="majorHAnsi"/>
          <w:b/>
        </w:rPr>
      </w:pPr>
      <w:r w:rsidRPr="00A0026D">
        <w:rPr>
          <w:rFonts w:asciiTheme="majorHAnsi" w:hAnsiTheme="majorHAnsi" w:cstheme="majorHAnsi"/>
          <w:b/>
        </w:rPr>
        <w:t xml:space="preserve">Data Specification for </w:t>
      </w:r>
    </w:p>
    <w:p w:rsidR="00DE54B9" w:rsidRPr="00A0026D" w:rsidRDefault="00DE54B9" w:rsidP="0057220C">
      <w:pPr>
        <w:ind w:rightChars="-92" w:right="-221"/>
        <w:jc w:val="center"/>
        <w:rPr>
          <w:rFonts w:cstheme="minorHAnsi"/>
        </w:rPr>
      </w:pPr>
      <w:bookmarkStart w:id="0" w:name="OLE_LINK1"/>
      <w:r w:rsidRPr="00A0026D">
        <w:rPr>
          <w:rFonts w:asciiTheme="majorHAnsi" w:hAnsiTheme="majorHAnsi" w:cstheme="majorHAnsi"/>
          <w:b/>
        </w:rPr>
        <w:t xml:space="preserve">Data related to </w:t>
      </w:r>
      <w:r w:rsidR="00E72931" w:rsidRPr="00A0026D">
        <w:rPr>
          <w:rFonts w:asciiTheme="majorHAnsi" w:hAnsiTheme="majorHAnsi" w:cstheme="majorHAnsi"/>
          <w:b/>
        </w:rPr>
        <w:t>Monthly Financial Results Published in the Press Releases</w:t>
      </w:r>
      <w:r w:rsidR="00E72931" w:rsidRPr="00A0026D" w:rsidDel="00E72931">
        <w:rPr>
          <w:rFonts w:asciiTheme="majorHAnsi" w:hAnsiTheme="majorHAnsi" w:cstheme="majorHAnsi"/>
          <w:b/>
        </w:rPr>
        <w:t xml:space="preserve"> </w:t>
      </w:r>
    </w:p>
    <w:bookmarkEnd w:id="0"/>
    <w:p w:rsidR="00DE54B9" w:rsidRPr="00A0026D" w:rsidRDefault="00DE54B9" w:rsidP="0057220C">
      <w:pPr>
        <w:ind w:rightChars="-92" w:right="-221"/>
        <w:rPr>
          <w:rFonts w:cstheme="minorHAnsi"/>
        </w:rPr>
      </w:pPr>
    </w:p>
    <w:p w:rsidR="00DE54B9" w:rsidRPr="00A0026D" w:rsidRDefault="00DE54B9" w:rsidP="0057220C">
      <w:pPr>
        <w:ind w:rightChars="-92" w:right="-221"/>
        <w:rPr>
          <w:rFonts w:cstheme="minorHAnsi"/>
        </w:rPr>
      </w:pPr>
      <w:r w:rsidRPr="00A0026D">
        <w:rPr>
          <w:rFonts w:cstheme="minorHAnsi"/>
        </w:rPr>
        <w:t xml:space="preserve">The Data related to </w:t>
      </w:r>
      <w:r w:rsidR="00E72931" w:rsidRPr="00A0026D">
        <w:rPr>
          <w:rFonts w:cstheme="minorHAnsi"/>
        </w:rPr>
        <w:t>Monthly Financial Results Published in the Press Releases</w:t>
      </w:r>
      <w:r w:rsidR="00E72931" w:rsidRPr="00A0026D" w:rsidDel="00E72931">
        <w:rPr>
          <w:rFonts w:cstheme="minorHAnsi"/>
        </w:rPr>
        <w:t xml:space="preserve"> </w:t>
      </w:r>
      <w:r w:rsidRPr="00A0026D">
        <w:rPr>
          <w:rFonts w:cstheme="minorHAnsi"/>
        </w:rPr>
        <w:t xml:space="preserve">is provided by TREASURY. </w:t>
      </w:r>
      <w:r w:rsidRPr="00A0026D">
        <w:rPr>
          <w:rFonts w:eastAsia="Times New Roman" w:cstheme="minorHAnsi"/>
        </w:rPr>
        <w:t>This web service returns up-to-date data in CSV</w:t>
      </w:r>
      <w:r w:rsidR="000C659D" w:rsidRPr="00A0026D">
        <w:rPr>
          <w:rFonts w:cstheme="minorHAnsi" w:hint="eastAsia"/>
        </w:rPr>
        <w:t>, JSON and XML</w:t>
      </w:r>
      <w:r w:rsidRPr="00A0026D">
        <w:rPr>
          <w:rFonts w:eastAsia="Times New Roman" w:cstheme="minorHAnsi"/>
        </w:rPr>
        <w:t xml:space="preserve"> format</w:t>
      </w:r>
      <w:r w:rsidR="000C659D" w:rsidRPr="00A0026D">
        <w:rPr>
          <w:rFonts w:cstheme="minorHAnsi" w:hint="eastAsia"/>
        </w:rPr>
        <w:t>s</w:t>
      </w:r>
      <w:r w:rsidRPr="00A0026D">
        <w:rPr>
          <w:rFonts w:eastAsia="Times New Roman" w:cstheme="minorHAnsi"/>
        </w:rPr>
        <w:t>.</w:t>
      </w:r>
    </w:p>
    <w:p w:rsidR="00DE54B9" w:rsidRPr="00A0026D" w:rsidRDefault="00DE54B9" w:rsidP="0057220C">
      <w:pPr>
        <w:ind w:rightChars="-92" w:right="-221"/>
        <w:rPr>
          <w:rFonts w:cstheme="minorHAnsi"/>
        </w:rPr>
      </w:pPr>
    </w:p>
    <w:p w:rsidR="00AB462E" w:rsidRPr="00A0026D" w:rsidRDefault="00AB462E" w:rsidP="0057220C">
      <w:pPr>
        <w:ind w:rightChars="-92" w:right="-221"/>
        <w:rPr>
          <w:i/>
        </w:rPr>
      </w:pPr>
      <w:r w:rsidRPr="00A0026D">
        <w:rPr>
          <w:i/>
        </w:rPr>
        <w:t>Explanation Notes for the wildcard characters used in this document:</w:t>
      </w:r>
    </w:p>
    <w:p w:rsidR="00AB462E" w:rsidRPr="00A0026D" w:rsidRDefault="00AB462E" w:rsidP="0057220C">
      <w:pPr>
        <w:pStyle w:val="a8"/>
        <w:numPr>
          <w:ilvl w:val="0"/>
          <w:numId w:val="1"/>
        </w:numPr>
        <w:ind w:leftChars="0" w:rightChars="-92" w:right="-221"/>
        <w:rPr>
          <w:i/>
        </w:rPr>
      </w:pPr>
      <w:r w:rsidRPr="00A0026D">
        <w:rPr>
          <w:i/>
        </w:rPr>
        <w:t xml:space="preserve">XXXX-YY is the subject financial year. For example, for the files of financial year </w:t>
      </w:r>
      <w:r w:rsidR="00A938EF" w:rsidRPr="00A0026D">
        <w:rPr>
          <w:i/>
        </w:rPr>
        <w:t>2018</w:t>
      </w:r>
      <w:r w:rsidRPr="00A0026D">
        <w:rPr>
          <w:i/>
        </w:rPr>
        <w:t>-1</w:t>
      </w:r>
      <w:r w:rsidR="00A938EF" w:rsidRPr="00A0026D">
        <w:rPr>
          <w:i/>
        </w:rPr>
        <w:t>9</w:t>
      </w:r>
      <w:r w:rsidR="000A10B5" w:rsidRPr="00A0026D">
        <w:rPr>
          <w:i/>
        </w:rPr>
        <w:t xml:space="preserve">, </w:t>
      </w:r>
      <w:r w:rsidRPr="00A0026D">
        <w:rPr>
          <w:i/>
        </w:rPr>
        <w:t xml:space="preserve">XXXX-YY = </w:t>
      </w:r>
      <w:r w:rsidR="00A938EF" w:rsidRPr="00A0026D">
        <w:rPr>
          <w:i/>
        </w:rPr>
        <w:t>2018</w:t>
      </w:r>
      <w:r w:rsidRPr="00A0026D">
        <w:rPr>
          <w:i/>
        </w:rPr>
        <w:t>-1</w:t>
      </w:r>
      <w:r w:rsidR="00A938EF" w:rsidRPr="00A0026D">
        <w:rPr>
          <w:i/>
        </w:rPr>
        <w:t>9</w:t>
      </w:r>
    </w:p>
    <w:p w:rsidR="00DC6B61" w:rsidRPr="00A0026D" w:rsidRDefault="00A938EF" w:rsidP="0057220C">
      <w:pPr>
        <w:pStyle w:val="a8"/>
        <w:numPr>
          <w:ilvl w:val="0"/>
          <w:numId w:val="1"/>
        </w:numPr>
        <w:ind w:leftChars="0" w:rightChars="-92" w:right="-221"/>
        <w:rPr>
          <w:i/>
        </w:rPr>
      </w:pPr>
      <w:r w:rsidRPr="00A0026D">
        <w:rPr>
          <w:i/>
        </w:rPr>
        <w:t>For the files in English, filename = press_release_XXXX-YY_e</w:t>
      </w:r>
    </w:p>
    <w:p w:rsidR="00DC6B61" w:rsidRPr="00A0026D" w:rsidRDefault="00A938EF" w:rsidP="0057220C">
      <w:pPr>
        <w:pStyle w:val="a8"/>
        <w:numPr>
          <w:ilvl w:val="0"/>
          <w:numId w:val="1"/>
        </w:numPr>
        <w:ind w:leftChars="0" w:rightChars="-92" w:right="-221"/>
        <w:rPr>
          <w:i/>
        </w:rPr>
      </w:pPr>
      <w:r w:rsidRPr="00A0026D">
        <w:rPr>
          <w:i/>
        </w:rPr>
        <w:t>For the files in Traditional Chinese, filename = press_release_XXXX-YY_c</w:t>
      </w:r>
    </w:p>
    <w:p w:rsidR="00A938EF" w:rsidRPr="00A0026D" w:rsidRDefault="00A938EF" w:rsidP="0057220C">
      <w:pPr>
        <w:pStyle w:val="a8"/>
        <w:numPr>
          <w:ilvl w:val="0"/>
          <w:numId w:val="1"/>
        </w:numPr>
        <w:ind w:leftChars="0" w:rightChars="-92" w:right="-221"/>
        <w:rPr>
          <w:i/>
        </w:rPr>
      </w:pPr>
      <w:r w:rsidRPr="00A0026D">
        <w:rPr>
          <w:i/>
        </w:rPr>
        <w:t>For the files in Simplified Chinese, filename = press_release_XXXX-YY_s</w:t>
      </w:r>
    </w:p>
    <w:p w:rsidR="00DC6B61" w:rsidRPr="00A0026D" w:rsidRDefault="00A938EF" w:rsidP="0057220C">
      <w:pPr>
        <w:pStyle w:val="a8"/>
        <w:numPr>
          <w:ilvl w:val="0"/>
          <w:numId w:val="1"/>
        </w:numPr>
        <w:ind w:leftChars="0" w:rightChars="-92" w:right="-221"/>
        <w:rPr>
          <w:i/>
        </w:rPr>
      </w:pPr>
      <w:r w:rsidRPr="00A0026D">
        <w:rPr>
          <w:i/>
        </w:rPr>
        <w:t>UUUU is the file extension.  It shoul</w:t>
      </w:r>
      <w:r w:rsidR="0087676A" w:rsidRPr="00A0026D">
        <w:rPr>
          <w:i/>
        </w:rPr>
        <w:t>d be either in csv, json or xml.</w:t>
      </w:r>
    </w:p>
    <w:p w:rsidR="00DC6B61" w:rsidRPr="00A0026D" w:rsidRDefault="00DC6B61" w:rsidP="0057220C">
      <w:pPr>
        <w:pStyle w:val="a8"/>
        <w:numPr>
          <w:ilvl w:val="0"/>
          <w:numId w:val="1"/>
        </w:numPr>
        <w:ind w:leftChars="0" w:rightChars="-92" w:right="-221"/>
        <w:rPr>
          <w:i/>
        </w:rPr>
      </w:pPr>
      <w:r w:rsidRPr="00A0026D">
        <w:rPr>
          <w:i/>
        </w:rPr>
        <w:t>For files in XML format, space in header is replaced by underscore "_".</w:t>
      </w:r>
    </w:p>
    <w:p w:rsidR="00F51539" w:rsidRPr="00A0026D" w:rsidRDefault="00F51539" w:rsidP="0057220C">
      <w:pPr>
        <w:pStyle w:val="a8"/>
        <w:ind w:leftChars="0" w:left="283" w:rightChars="-92" w:right="-221" w:hangingChars="118" w:hanging="283"/>
        <w:rPr>
          <w:rFonts w:cstheme="minorHAnsi"/>
        </w:rPr>
      </w:pPr>
    </w:p>
    <w:p w:rsidR="0087676A" w:rsidRPr="00A0026D" w:rsidRDefault="00A938EF" w:rsidP="0057220C">
      <w:pPr>
        <w:widowControl/>
        <w:ind w:rightChars="-92" w:right="-221"/>
        <w:rPr>
          <w:rFonts w:cstheme="minorHAnsi"/>
          <w:u w:val="single"/>
        </w:rPr>
      </w:pPr>
      <w:r w:rsidRPr="00A0026D">
        <w:rPr>
          <w:rFonts w:cstheme="minorHAnsi"/>
          <w:u w:val="single"/>
        </w:rPr>
        <w:t xml:space="preserve">Data related to </w:t>
      </w:r>
      <w:r w:rsidR="00E72931" w:rsidRPr="00A0026D">
        <w:rPr>
          <w:rFonts w:cstheme="minorHAnsi"/>
          <w:u w:val="single"/>
        </w:rPr>
        <w:t>Monthly Financial Results Published in the Press Releases</w:t>
      </w:r>
      <w:r w:rsidR="00DC6B61" w:rsidRPr="00A0026D">
        <w:rPr>
          <w:rFonts w:cstheme="minorHAnsi"/>
          <w:u w:val="single"/>
        </w:rPr>
        <w:t xml:space="preserve"> (Expressed in Hong Kong </w:t>
      </w:r>
      <w:r w:rsidR="0087676A" w:rsidRPr="00A0026D">
        <w:rPr>
          <w:rFonts w:cstheme="minorHAnsi"/>
          <w:u w:val="single"/>
        </w:rPr>
        <w:t>D</w:t>
      </w:r>
      <w:r w:rsidR="00DC6B61" w:rsidRPr="00A0026D">
        <w:rPr>
          <w:rFonts w:cstheme="minorHAnsi"/>
          <w:u w:val="single"/>
        </w:rPr>
        <w:t>ollar</w:t>
      </w:r>
      <w:r w:rsidR="0087676A" w:rsidRPr="00A0026D">
        <w:rPr>
          <w:rFonts w:cstheme="minorHAnsi"/>
          <w:u w:val="single"/>
        </w:rPr>
        <w:t xml:space="preserve"> (Million)) </w:t>
      </w:r>
      <w:r w:rsidRPr="00A0026D">
        <w:rPr>
          <w:rFonts w:cstheme="minorHAnsi"/>
          <w:u w:val="single"/>
        </w:rPr>
        <w:t xml:space="preserve"> </w:t>
      </w:r>
      <w:r w:rsidR="00DC6B61" w:rsidRPr="00A0026D">
        <w:rPr>
          <w:rFonts w:cstheme="minorHAnsi"/>
          <w:u w:val="single"/>
        </w:rPr>
        <w:t>[filename.UUUU]</w:t>
      </w:r>
    </w:p>
    <w:p w:rsidR="00B75781" w:rsidRPr="00A0026D" w:rsidRDefault="00B75781" w:rsidP="00DC6B61">
      <w:pPr>
        <w:widowControl/>
        <w:rPr>
          <w:rFonts w:cstheme="minorHAnsi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  <w:gridCol w:w="2551"/>
      </w:tblGrid>
      <w:tr w:rsidR="00C83554" w:rsidRPr="00A0026D" w:rsidTr="0057220C">
        <w:trPr>
          <w:trHeight w:val="340"/>
          <w:tblHeader/>
        </w:trPr>
        <w:tc>
          <w:tcPr>
            <w:tcW w:w="10598" w:type="dxa"/>
            <w:vAlign w:val="center"/>
          </w:tcPr>
          <w:p w:rsidR="00C83554" w:rsidRPr="00A0026D" w:rsidRDefault="00C83554" w:rsidP="008F7BEA">
            <w:pPr>
              <w:jc w:val="both"/>
              <w:rPr>
                <w:rFonts w:cstheme="minorHAnsi"/>
                <w:b/>
              </w:rPr>
            </w:pPr>
            <w:r w:rsidRPr="00A0026D">
              <w:rPr>
                <w:rFonts w:cstheme="minorHAnsi"/>
                <w:b/>
              </w:rPr>
              <w:t xml:space="preserve">Item </w:t>
            </w:r>
            <w:r w:rsidR="00FC1D5F" w:rsidRPr="00A0026D">
              <w:rPr>
                <w:rFonts w:cstheme="minorHAnsi"/>
                <w:b/>
              </w:rPr>
              <w:t xml:space="preserve">and Description </w:t>
            </w:r>
            <w:r w:rsidRPr="00A0026D">
              <w:rPr>
                <w:rFonts w:cstheme="minorHAnsi"/>
                <w:b/>
              </w:rPr>
              <w:t xml:space="preserve">(English / </w:t>
            </w:r>
            <w:r w:rsidRPr="00A0026D">
              <w:rPr>
                <w:rFonts w:cstheme="minorHAnsi"/>
                <w:b/>
              </w:rPr>
              <w:t>中文繁體</w:t>
            </w:r>
            <w:r w:rsidRPr="00A0026D">
              <w:rPr>
                <w:rFonts w:cstheme="minorHAnsi"/>
                <w:b/>
              </w:rPr>
              <w:t xml:space="preserve"> / </w:t>
            </w:r>
            <w:r w:rsidRPr="00A0026D">
              <w:rPr>
                <w:rFonts w:cstheme="minorHAnsi"/>
                <w:b/>
              </w:rPr>
              <w:t>中文</w:t>
            </w:r>
            <w:r w:rsidR="00E854B7" w:rsidRPr="00A0026D">
              <w:rPr>
                <w:rFonts w:cstheme="minorHAnsi" w:hint="eastAsia"/>
                <w:b/>
              </w:rPr>
              <w:t>简体</w:t>
            </w:r>
            <w:r w:rsidRPr="00A0026D">
              <w:rPr>
                <w:rFonts w:cstheme="minorHAnsi"/>
                <w:b/>
              </w:rPr>
              <w:t>)</w:t>
            </w:r>
          </w:p>
        </w:tc>
        <w:tc>
          <w:tcPr>
            <w:tcW w:w="2551" w:type="dxa"/>
            <w:vAlign w:val="center"/>
          </w:tcPr>
          <w:p w:rsidR="00C83554" w:rsidRPr="00A0026D" w:rsidRDefault="00C83554" w:rsidP="008F7BEA">
            <w:pPr>
              <w:jc w:val="both"/>
              <w:rPr>
                <w:rFonts w:cstheme="minorHAnsi"/>
                <w:b/>
              </w:rPr>
            </w:pPr>
            <w:r w:rsidRPr="00A0026D">
              <w:rPr>
                <w:rFonts w:cstheme="minorHAnsi"/>
                <w:b/>
              </w:rPr>
              <w:t>Note</w:t>
            </w:r>
          </w:p>
        </w:tc>
      </w:tr>
      <w:tr w:rsidR="00C83554" w:rsidRPr="00A0026D" w:rsidTr="0057220C">
        <w:trPr>
          <w:trHeight w:val="340"/>
        </w:trPr>
        <w:tc>
          <w:tcPr>
            <w:tcW w:w="10598" w:type="dxa"/>
          </w:tcPr>
          <w:p w:rsidR="00C83554" w:rsidRPr="00A0026D" w:rsidRDefault="00C83554" w:rsidP="004125A3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Financial Year/</w:t>
            </w:r>
          </w:p>
          <w:p w:rsidR="00C83554" w:rsidRPr="00A0026D" w:rsidRDefault="00C83554" w:rsidP="004125A3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財政年度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C83554" w:rsidRPr="00A0026D" w:rsidRDefault="00C83554" w:rsidP="004125A3">
            <w:pPr>
              <w:jc w:val="both"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财政年度</w:t>
            </w:r>
          </w:p>
          <w:p w:rsidR="00C83554" w:rsidRPr="00A0026D" w:rsidRDefault="00C83554" w:rsidP="004125A3">
            <w:pPr>
              <w:jc w:val="both"/>
              <w:rPr>
                <w:rFonts w:cstheme="minorHAnsi"/>
              </w:rPr>
            </w:pPr>
          </w:p>
        </w:tc>
        <w:tc>
          <w:tcPr>
            <w:tcW w:w="2551" w:type="dxa"/>
          </w:tcPr>
          <w:p w:rsidR="00C83554" w:rsidRPr="00A0026D" w:rsidRDefault="00C83554" w:rsidP="004125A3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Text</w:t>
            </w:r>
          </w:p>
        </w:tc>
      </w:tr>
      <w:tr w:rsidR="00C83554" w:rsidRPr="00A0026D" w:rsidTr="0057220C">
        <w:trPr>
          <w:trHeight w:val="340"/>
        </w:trPr>
        <w:tc>
          <w:tcPr>
            <w:tcW w:w="10598" w:type="dxa"/>
          </w:tcPr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Month/</w:t>
            </w:r>
          </w:p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月份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C83554" w:rsidRPr="00A0026D" w:rsidRDefault="00C83554" w:rsidP="00285EA7">
            <w:pPr>
              <w:jc w:val="both"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月份</w:t>
            </w:r>
          </w:p>
          <w:p w:rsidR="00C83554" w:rsidRPr="00A0026D" w:rsidRDefault="00C83554" w:rsidP="00285EA7">
            <w:pPr>
              <w:jc w:val="both"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C83554" w:rsidRPr="00A0026D" w:rsidRDefault="00C83554" w:rsidP="00285EA7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Text</w:t>
            </w:r>
          </w:p>
        </w:tc>
      </w:tr>
      <w:tr w:rsidR="00C83554" w:rsidRPr="00A0026D" w:rsidDel="001920F9" w:rsidTr="0057220C">
        <w:trPr>
          <w:trHeight w:val="340"/>
        </w:trPr>
        <w:tc>
          <w:tcPr>
            <w:tcW w:w="10598" w:type="dxa"/>
          </w:tcPr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Consolidated Revenue for the month/</w:t>
            </w:r>
          </w:p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本月的綜合收入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C83554" w:rsidRPr="00A0026D" w:rsidRDefault="00C83554" w:rsidP="00285EA7">
            <w:pPr>
              <w:jc w:val="both"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本月的综合收入</w:t>
            </w:r>
          </w:p>
          <w:p w:rsidR="00C83554" w:rsidRPr="00A0026D" w:rsidDel="001920F9" w:rsidRDefault="00C83554" w:rsidP="00285EA7">
            <w:pPr>
              <w:jc w:val="both"/>
            </w:pPr>
          </w:p>
        </w:tc>
        <w:tc>
          <w:tcPr>
            <w:tcW w:w="2551" w:type="dxa"/>
          </w:tcPr>
          <w:p w:rsidR="00C83554" w:rsidRPr="00A0026D" w:rsidRDefault="00C83554" w:rsidP="00285EA7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</w:tbl>
    <w:p w:rsidR="00FC1D5F" w:rsidRPr="00A0026D" w:rsidRDefault="00FC1D5F" w:rsidP="00285EA7">
      <w:pPr>
        <w:widowControl/>
        <w:rPr>
          <w:rFonts w:eastAsia="新細明體" w:cs="Times New Roman"/>
          <w:color w:val="000000"/>
          <w:kern w:val="0"/>
          <w:szCs w:val="24"/>
        </w:rPr>
        <w:sectPr w:rsidR="00FC1D5F" w:rsidRPr="00A0026D" w:rsidSect="001A3F16">
          <w:footerReference w:type="default" r:id="rId8"/>
          <w:pgSz w:w="15840" w:h="12240" w:orient="landscape" w:code="1"/>
          <w:pgMar w:top="567" w:right="1440" w:bottom="284" w:left="1440" w:header="737" w:footer="170" w:gutter="0"/>
          <w:cols w:space="425"/>
          <w:docGrid w:type="lines"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  <w:gridCol w:w="2551"/>
      </w:tblGrid>
      <w:tr w:rsidR="00C83554" w:rsidRPr="00A0026D" w:rsidTr="0057220C">
        <w:trPr>
          <w:trHeight w:val="340"/>
          <w:tblHeader/>
        </w:trPr>
        <w:tc>
          <w:tcPr>
            <w:tcW w:w="10598" w:type="dxa"/>
          </w:tcPr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lastRenderedPageBreak/>
              <w:t>Consolidated Expenditure for the month/</w:t>
            </w:r>
          </w:p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本月的綜合開支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C83554" w:rsidRPr="00A0026D" w:rsidRDefault="00C83554" w:rsidP="00285EA7">
            <w:pPr>
              <w:jc w:val="both"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本月的综合开支</w:t>
            </w:r>
          </w:p>
          <w:p w:rsidR="00C83554" w:rsidRPr="00A0026D" w:rsidRDefault="00C83554" w:rsidP="00285EA7">
            <w:pPr>
              <w:jc w:val="both"/>
              <w:rPr>
                <w:rFonts w:cstheme="minorHAnsi"/>
              </w:rPr>
            </w:pPr>
          </w:p>
        </w:tc>
        <w:tc>
          <w:tcPr>
            <w:tcW w:w="2551" w:type="dxa"/>
          </w:tcPr>
          <w:p w:rsidR="00C83554" w:rsidRPr="00A0026D" w:rsidRDefault="00C83554" w:rsidP="00285EA7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C83554" w:rsidRPr="00A0026D" w:rsidTr="0057220C">
        <w:trPr>
          <w:trHeight w:val="340"/>
          <w:tblHeader/>
        </w:trPr>
        <w:tc>
          <w:tcPr>
            <w:tcW w:w="10598" w:type="dxa"/>
          </w:tcPr>
          <w:p w:rsidR="00C83554" w:rsidRPr="00A0026D" w:rsidRDefault="00D35671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 xml:space="preserve">Consolidated </w:t>
            </w:r>
            <w:r w:rsidR="00C83554" w:rsidRPr="00A0026D">
              <w:rPr>
                <w:rFonts w:eastAsia="新細明體" w:cs="Times New Roman"/>
                <w:color w:val="000000"/>
                <w:kern w:val="0"/>
                <w:szCs w:val="24"/>
              </w:rPr>
              <w:t>Surplus/ (Deficit) for the month</w:t>
            </w:r>
            <w:r w:rsidR="006C1D8B" w:rsidRPr="00A0026D">
              <w:rPr>
                <w:rFonts w:eastAsia="新細明體" w:cs="Times New Roman"/>
                <w:color w:val="000000"/>
                <w:kern w:val="0"/>
                <w:szCs w:val="24"/>
              </w:rPr>
              <w:t xml:space="preserve"> before issuance/ repayment of government bonds and notes </w:t>
            </w:r>
            <w:r w:rsidR="00C83554"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</w:t>
            </w:r>
            <w:r w:rsidR="00DD448A"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未計入發行</w:t>
            </w:r>
            <w:r w:rsidR="00DD448A" w:rsidRPr="00A0026D">
              <w:rPr>
                <w:rFonts w:eastAsia="新細明體" w:cs="Times New Roman"/>
                <w:color w:val="000000"/>
                <w:kern w:val="0"/>
                <w:szCs w:val="24"/>
              </w:rPr>
              <w:t>／償還</w:t>
            </w:r>
            <w:r w:rsidR="00DD448A"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="00DD448A"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的綜合盈餘／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  <w:r w:rsidR="00DD448A"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</w:t>
            </w:r>
            <w:r w:rsidR="00DD448A"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未计入发行／偿还政府债券及票据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的综合盈余／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</w:p>
          <w:p w:rsidR="00C83554" w:rsidRPr="00A0026D" w:rsidRDefault="00C83554" w:rsidP="00285EA7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C83554" w:rsidRPr="00A0026D" w:rsidRDefault="00C83554" w:rsidP="00285EA7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Net proceeds from issuance of government bonds and notes for the month 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本月發行政府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所得淨收入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本月发行政府债券及票据所得净收入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Repayment of government bonds and notes for the month /</w:t>
            </w:r>
          </w:p>
          <w:p w:rsidR="004867DF" w:rsidRPr="00A0026D" w:rsidRDefault="004867DF" w:rsidP="0057220C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本月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償還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的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款項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57220C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本月偿还政府债券及票据的款项</w:t>
            </w:r>
          </w:p>
          <w:p w:rsidR="004867DF" w:rsidRPr="00A0026D" w:rsidRDefault="004867DF" w:rsidP="0057220C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Consolidated Surplus/ (Deficit) for the month after issuance/ repayment of government bonds and notes 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已計入發行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／償還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債券及票據的綜合盈餘／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本月已计入发行／偿还政府债券及票据的综合盈余／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 xml:space="preserve">) 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Financing-Domestic-Banking Sector for the month/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本月的財務安排－本地－銀行業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本月的财务安排－本地－银行业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Financing-Domestic-Non-Banking Sector for the month/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本月的財務安排－本地－非銀行業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本月的财务安排－本地－非银行业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lastRenderedPageBreak/>
              <w:t>Financing-External for the month/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本月的財務安排－外來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本月的财务安排－外来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Total Financing for the month/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本月的財務安排－總額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本月的财务安排－总额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867DF" w:rsidRPr="00A0026D" w:rsidTr="0057220C">
        <w:trPr>
          <w:trHeight w:val="340"/>
          <w:tblHeader/>
        </w:trPr>
        <w:tc>
          <w:tcPr>
            <w:tcW w:w="10598" w:type="dxa"/>
          </w:tcPr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Fiscal Reserves at start of the month/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本月開始的財政儲備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本月开始的财政储备</w:t>
            </w:r>
          </w:p>
          <w:p w:rsidR="004867DF" w:rsidRPr="00A0026D" w:rsidRDefault="004867DF" w:rsidP="004867DF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4867DF" w:rsidRPr="00A0026D" w:rsidRDefault="004867DF" w:rsidP="004867DF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Change for the month - Consolidated Surplus / (Deficit)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after issuance/ repayment of government bonds and notes 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本月的變動－已計入發行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／償還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綜合盈餘／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)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本月的变动－已计入发行／偿还政府债券及票据的综合盈余／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Fiscal Reserves at end of the month/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本月底的財政儲備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本月底的财政储备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Cumulative Consolidated Revenue for the financial year/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本財政年度的累計綜合收入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本财政年度的累计综合收入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Cumulative Consolidated Expenditure for the financial year/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本財政年度的累計綜合開支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本财政年度的累计综合开支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lastRenderedPageBreak/>
              <w:t>Cumulative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Consolidated Surplus/ (Deficit) for the financial year before issuance/ repayment of government bonds and notes 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未計入發行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／償還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債券及票據的累計綜合盈餘／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未计入发行／偿还政府债券及票据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的累计综合盈余／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Net proceeds from issuance of government bonds and notes for the financial year 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財政年度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發行政府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所得淨收入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财政年度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发行政府债券及票据所得净收入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Repayment of government bonds and notes for the financial year 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財政年度償還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的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款項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财政年度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偿还政府债券及票据的款项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Cumulative Consolidated Surplus/ (Deficit) for the financial year after issuance/ repayment of government bonds and notes 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已計入發行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／償還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債券及票據的累計綜合盈餘／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已计入发行／偿还政府债券及票据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的累计综合盈余／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Cumulative Financing-Domestic-Banking Sector for the financial year/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本財政年度的累計財務安排－本地－銀行業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本财政年度的累计财务安排－本地－银行业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D647DE" w:rsidRPr="00A0026D" w:rsidTr="0057220C">
        <w:trPr>
          <w:trHeight w:val="340"/>
          <w:tblHeader/>
        </w:trPr>
        <w:tc>
          <w:tcPr>
            <w:tcW w:w="10598" w:type="dxa"/>
          </w:tcPr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Cumulative Financing-Domestic-Non-Banking Sector for the financial year/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本財政年度的累計財務安排－本地－非銀行業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本财政年度的累计财务安排－本地－非银行业</w:t>
            </w:r>
          </w:p>
          <w:p w:rsidR="00D647DE" w:rsidRPr="00A0026D" w:rsidRDefault="00D647DE" w:rsidP="00AA283D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D647DE" w:rsidRPr="00A0026D" w:rsidRDefault="00D647DE" w:rsidP="00AA283D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91D74" w:rsidRPr="00A0026D" w:rsidTr="00491D74">
        <w:trPr>
          <w:trHeight w:val="340"/>
        </w:trPr>
        <w:tc>
          <w:tcPr>
            <w:tcW w:w="10598" w:type="dxa"/>
          </w:tcPr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Cumulative Financing-External for the financial year/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本財政年度的累計財務安排－外來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本财政年度的累计财务安排－外来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B75781" w:rsidRPr="00A0026D" w:rsidRDefault="00B75781" w:rsidP="00B75781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91D74" w:rsidRPr="00A0026D" w:rsidTr="00491D74">
        <w:trPr>
          <w:trHeight w:val="340"/>
        </w:trPr>
        <w:tc>
          <w:tcPr>
            <w:tcW w:w="10598" w:type="dxa"/>
          </w:tcPr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Cumulative Total Financing for the financial year/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本財政年度的累計財務安排－總額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本财政年度的累计财务安排－总额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B75781" w:rsidRPr="00A0026D" w:rsidRDefault="00B75781" w:rsidP="00B75781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91D74" w:rsidRPr="00A0026D" w:rsidTr="00491D74">
        <w:trPr>
          <w:trHeight w:val="340"/>
        </w:trPr>
        <w:tc>
          <w:tcPr>
            <w:tcW w:w="10598" w:type="dxa"/>
            <w:tcBorders>
              <w:bottom w:val="single" w:sz="4" w:space="0" w:color="auto"/>
            </w:tcBorders>
          </w:tcPr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Fiscal Reserves at start of the financial year/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本財政年度開始的財政儲備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本财政年度开始的财政储备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B75781" w:rsidRPr="00A0026D" w:rsidRDefault="00B75781" w:rsidP="00B75781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91D74" w:rsidRPr="00A0026D" w:rsidTr="00491D74">
        <w:trPr>
          <w:trHeight w:val="340"/>
        </w:trPr>
        <w:tc>
          <w:tcPr>
            <w:tcW w:w="10598" w:type="dxa"/>
          </w:tcPr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Change for the financial year - Cumulative Consolidated Surplus / (Deficit)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after issuance/ repayment of government bonds and notes 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本財政年度的變動－已計入發行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／償還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政府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債券及票據的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累計綜合盈餘／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)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本财政年度的变动－已计入发行／偿还政府债券及票据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的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累计综合盈余／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 w:hint="eastAsia"/>
                <w:color w:val="000000"/>
                <w:kern w:val="0"/>
                <w:szCs w:val="24"/>
              </w:rPr>
              <w:t>赤字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B75781" w:rsidRPr="00A0026D" w:rsidRDefault="00B75781" w:rsidP="00B75781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</w:p>
        </w:tc>
      </w:tr>
      <w:tr w:rsidR="00491D74" w:rsidRPr="00E56F5D" w:rsidTr="00491D74">
        <w:trPr>
          <w:trHeight w:val="340"/>
        </w:trPr>
        <w:tc>
          <w:tcPr>
            <w:tcW w:w="10598" w:type="dxa"/>
          </w:tcPr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Fiscal Reserves at end of the financial year (up to this month)/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本財政年度的財政儲備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截至本月底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)/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本财政年度的财政储备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(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截至本月底</w:t>
            </w:r>
            <w:r w:rsidRPr="00A0026D">
              <w:rPr>
                <w:rFonts w:eastAsia="新細明體" w:cs="Times New Roman"/>
                <w:color w:val="000000"/>
                <w:kern w:val="0"/>
                <w:szCs w:val="24"/>
              </w:rPr>
              <w:t>)</w:t>
            </w:r>
          </w:p>
          <w:p w:rsidR="00B75781" w:rsidRPr="00A0026D" w:rsidRDefault="00B75781" w:rsidP="00B75781">
            <w:pPr>
              <w:widowControl/>
              <w:rPr>
                <w:rFonts w:eastAsia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2551" w:type="dxa"/>
          </w:tcPr>
          <w:p w:rsidR="00B75781" w:rsidRDefault="00B75781" w:rsidP="00B75781">
            <w:pPr>
              <w:jc w:val="both"/>
              <w:rPr>
                <w:rFonts w:cstheme="minorHAnsi"/>
              </w:rPr>
            </w:pPr>
            <w:r w:rsidRPr="00A0026D">
              <w:rPr>
                <w:rFonts w:cstheme="minorHAnsi"/>
              </w:rPr>
              <w:t>Data Type: Numeric</w:t>
            </w:r>
            <w:bookmarkStart w:id="1" w:name="_GoBack"/>
            <w:bookmarkEnd w:id="1"/>
          </w:p>
        </w:tc>
      </w:tr>
    </w:tbl>
    <w:p w:rsidR="00C877D8" w:rsidRPr="0057220C" w:rsidRDefault="00C877D8" w:rsidP="0057220C">
      <w:pPr>
        <w:widowControl/>
      </w:pPr>
    </w:p>
    <w:sectPr w:rsidR="00C877D8" w:rsidRPr="0057220C" w:rsidSect="0057220C">
      <w:pgSz w:w="15840" w:h="12240" w:orient="landscape" w:code="1"/>
      <w:pgMar w:top="567" w:right="1440" w:bottom="964" w:left="1440" w:header="851" w:footer="17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F27" w:rsidRDefault="00707F27" w:rsidP="00210F7E">
      <w:r>
        <w:separator/>
      </w:r>
    </w:p>
  </w:endnote>
  <w:endnote w:type="continuationSeparator" w:id="0">
    <w:p w:rsidR="00707F27" w:rsidRDefault="00707F27" w:rsidP="0021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215216"/>
      <w:docPartObj>
        <w:docPartGallery w:val="Page Numbers (Bottom of Page)"/>
        <w:docPartUnique/>
      </w:docPartObj>
    </w:sdtPr>
    <w:sdtEndPr/>
    <w:sdtContent>
      <w:p w:rsidR="0087676A" w:rsidRDefault="0087676A" w:rsidP="0087676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26D" w:rsidRPr="00A0026D">
          <w:rPr>
            <w:noProof/>
            <w:lang w:val="zh-TW"/>
          </w:rPr>
          <w:t>1</w:t>
        </w:r>
        <w:r>
          <w:fldChar w:fldCharType="end"/>
        </w:r>
      </w:p>
      <w:p w:rsidR="0087676A" w:rsidRDefault="00A0026D" w:rsidP="0087676A">
        <w:pPr>
          <w:pStyle w:val="a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F27" w:rsidRDefault="00707F27" w:rsidP="00210F7E">
      <w:r>
        <w:separator/>
      </w:r>
    </w:p>
  </w:footnote>
  <w:footnote w:type="continuationSeparator" w:id="0">
    <w:p w:rsidR="00707F27" w:rsidRDefault="00707F27" w:rsidP="0021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C4D35"/>
    <w:multiLevelType w:val="hybridMultilevel"/>
    <w:tmpl w:val="3F16A3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DD32F5"/>
    <w:multiLevelType w:val="hybridMultilevel"/>
    <w:tmpl w:val="C92062C2"/>
    <w:lvl w:ilvl="0" w:tplc="213E9F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04"/>
    <w:rsid w:val="00003407"/>
    <w:rsid w:val="00013B47"/>
    <w:rsid w:val="000148FA"/>
    <w:rsid w:val="00015BDA"/>
    <w:rsid w:val="00015F6D"/>
    <w:rsid w:val="000245FB"/>
    <w:rsid w:val="00032100"/>
    <w:rsid w:val="000362EA"/>
    <w:rsid w:val="000416EA"/>
    <w:rsid w:val="0004267B"/>
    <w:rsid w:val="000527BE"/>
    <w:rsid w:val="00057E92"/>
    <w:rsid w:val="00060CC3"/>
    <w:rsid w:val="00066ACF"/>
    <w:rsid w:val="0006788B"/>
    <w:rsid w:val="00087868"/>
    <w:rsid w:val="00090DBA"/>
    <w:rsid w:val="000979A7"/>
    <w:rsid w:val="000A10B5"/>
    <w:rsid w:val="000A2367"/>
    <w:rsid w:val="000A3DB5"/>
    <w:rsid w:val="000A5AB1"/>
    <w:rsid w:val="000B3188"/>
    <w:rsid w:val="000C4E3F"/>
    <w:rsid w:val="000C5D97"/>
    <w:rsid w:val="000C6252"/>
    <w:rsid w:val="000C659D"/>
    <w:rsid w:val="000E06C0"/>
    <w:rsid w:val="000E4243"/>
    <w:rsid w:val="000E56F8"/>
    <w:rsid w:val="000E632E"/>
    <w:rsid w:val="000F28D5"/>
    <w:rsid w:val="00100481"/>
    <w:rsid w:val="00102F23"/>
    <w:rsid w:val="00114AC8"/>
    <w:rsid w:val="00114BC2"/>
    <w:rsid w:val="00115A9F"/>
    <w:rsid w:val="001160E6"/>
    <w:rsid w:val="001208A0"/>
    <w:rsid w:val="00124F04"/>
    <w:rsid w:val="001321AD"/>
    <w:rsid w:val="00136DB8"/>
    <w:rsid w:val="00142086"/>
    <w:rsid w:val="001460A1"/>
    <w:rsid w:val="00152FEB"/>
    <w:rsid w:val="00155F45"/>
    <w:rsid w:val="00161080"/>
    <w:rsid w:val="0016307F"/>
    <w:rsid w:val="001644B4"/>
    <w:rsid w:val="00165C54"/>
    <w:rsid w:val="00166576"/>
    <w:rsid w:val="00166D68"/>
    <w:rsid w:val="00170017"/>
    <w:rsid w:val="001705AF"/>
    <w:rsid w:val="00172320"/>
    <w:rsid w:val="00173284"/>
    <w:rsid w:val="00174764"/>
    <w:rsid w:val="00180096"/>
    <w:rsid w:val="00190EF5"/>
    <w:rsid w:val="00193EEB"/>
    <w:rsid w:val="001960AB"/>
    <w:rsid w:val="00196A69"/>
    <w:rsid w:val="001A3771"/>
    <w:rsid w:val="001A3F16"/>
    <w:rsid w:val="001A611F"/>
    <w:rsid w:val="001B1E2A"/>
    <w:rsid w:val="001B215F"/>
    <w:rsid w:val="001B2901"/>
    <w:rsid w:val="001B639D"/>
    <w:rsid w:val="001C1EB0"/>
    <w:rsid w:val="001C5787"/>
    <w:rsid w:val="001D319B"/>
    <w:rsid w:val="001E1FF4"/>
    <w:rsid w:val="001E5944"/>
    <w:rsid w:val="00200208"/>
    <w:rsid w:val="00206F97"/>
    <w:rsid w:val="00210F7E"/>
    <w:rsid w:val="00223D5B"/>
    <w:rsid w:val="0023026D"/>
    <w:rsid w:val="00234C87"/>
    <w:rsid w:val="00235B7B"/>
    <w:rsid w:val="00243767"/>
    <w:rsid w:val="00250518"/>
    <w:rsid w:val="00253486"/>
    <w:rsid w:val="00260AA3"/>
    <w:rsid w:val="00263969"/>
    <w:rsid w:val="002661B6"/>
    <w:rsid w:val="00271492"/>
    <w:rsid w:val="00282494"/>
    <w:rsid w:val="00282B36"/>
    <w:rsid w:val="00285EA7"/>
    <w:rsid w:val="00293556"/>
    <w:rsid w:val="00297CB4"/>
    <w:rsid w:val="00297E8A"/>
    <w:rsid w:val="002A21F9"/>
    <w:rsid w:val="002B2737"/>
    <w:rsid w:val="002B6B0E"/>
    <w:rsid w:val="002C1355"/>
    <w:rsid w:val="002C5812"/>
    <w:rsid w:val="002C6C88"/>
    <w:rsid w:val="002D446F"/>
    <w:rsid w:val="002D61A0"/>
    <w:rsid w:val="002E31E7"/>
    <w:rsid w:val="002F0C55"/>
    <w:rsid w:val="002F397A"/>
    <w:rsid w:val="002F5FE7"/>
    <w:rsid w:val="002F6963"/>
    <w:rsid w:val="002F7F04"/>
    <w:rsid w:val="00303A23"/>
    <w:rsid w:val="003042C7"/>
    <w:rsid w:val="003064DB"/>
    <w:rsid w:val="00314A8F"/>
    <w:rsid w:val="00324FE1"/>
    <w:rsid w:val="0032627C"/>
    <w:rsid w:val="00327B15"/>
    <w:rsid w:val="003422C3"/>
    <w:rsid w:val="0035289F"/>
    <w:rsid w:val="00352927"/>
    <w:rsid w:val="00365F14"/>
    <w:rsid w:val="00366842"/>
    <w:rsid w:val="00372621"/>
    <w:rsid w:val="00376F32"/>
    <w:rsid w:val="00383BCD"/>
    <w:rsid w:val="00390F58"/>
    <w:rsid w:val="00394E7C"/>
    <w:rsid w:val="003A440E"/>
    <w:rsid w:val="003B0A9F"/>
    <w:rsid w:val="003B24D2"/>
    <w:rsid w:val="003B3A04"/>
    <w:rsid w:val="003C4055"/>
    <w:rsid w:val="003C58A1"/>
    <w:rsid w:val="003C6A23"/>
    <w:rsid w:val="003D02A0"/>
    <w:rsid w:val="003D0799"/>
    <w:rsid w:val="003D7AAC"/>
    <w:rsid w:val="003D7C33"/>
    <w:rsid w:val="003F00B6"/>
    <w:rsid w:val="003F0A53"/>
    <w:rsid w:val="00401CE3"/>
    <w:rsid w:val="004125A3"/>
    <w:rsid w:val="0042214C"/>
    <w:rsid w:val="004457CC"/>
    <w:rsid w:val="00447ED4"/>
    <w:rsid w:val="004524BE"/>
    <w:rsid w:val="00457E31"/>
    <w:rsid w:val="0046153E"/>
    <w:rsid w:val="00465398"/>
    <w:rsid w:val="00470234"/>
    <w:rsid w:val="00473DB4"/>
    <w:rsid w:val="004745BF"/>
    <w:rsid w:val="00484191"/>
    <w:rsid w:val="004867DF"/>
    <w:rsid w:val="004900F3"/>
    <w:rsid w:val="00490A1A"/>
    <w:rsid w:val="00491D74"/>
    <w:rsid w:val="00493E2E"/>
    <w:rsid w:val="004A2E7B"/>
    <w:rsid w:val="004B06D2"/>
    <w:rsid w:val="004B2418"/>
    <w:rsid w:val="004C3E21"/>
    <w:rsid w:val="004C7D42"/>
    <w:rsid w:val="004D32E9"/>
    <w:rsid w:val="004E34AC"/>
    <w:rsid w:val="004E3635"/>
    <w:rsid w:val="004F0EC2"/>
    <w:rsid w:val="004F1FDC"/>
    <w:rsid w:val="004F48FE"/>
    <w:rsid w:val="004F5C0D"/>
    <w:rsid w:val="004F6622"/>
    <w:rsid w:val="005027BF"/>
    <w:rsid w:val="00511FED"/>
    <w:rsid w:val="0051270B"/>
    <w:rsid w:val="005143A1"/>
    <w:rsid w:val="00516F79"/>
    <w:rsid w:val="0052534E"/>
    <w:rsid w:val="00527BD8"/>
    <w:rsid w:val="00530D04"/>
    <w:rsid w:val="005314E8"/>
    <w:rsid w:val="00533703"/>
    <w:rsid w:val="00540AC7"/>
    <w:rsid w:val="005423E7"/>
    <w:rsid w:val="00543667"/>
    <w:rsid w:val="005448C8"/>
    <w:rsid w:val="00546B64"/>
    <w:rsid w:val="005531F2"/>
    <w:rsid w:val="00557C59"/>
    <w:rsid w:val="00566770"/>
    <w:rsid w:val="00570BE0"/>
    <w:rsid w:val="0057220C"/>
    <w:rsid w:val="0057245B"/>
    <w:rsid w:val="0057597E"/>
    <w:rsid w:val="0057739A"/>
    <w:rsid w:val="0058221A"/>
    <w:rsid w:val="005842F8"/>
    <w:rsid w:val="00585FB0"/>
    <w:rsid w:val="00587BB5"/>
    <w:rsid w:val="0059338B"/>
    <w:rsid w:val="005964E2"/>
    <w:rsid w:val="005A2F6F"/>
    <w:rsid w:val="005A3102"/>
    <w:rsid w:val="005A38E4"/>
    <w:rsid w:val="005B3B3F"/>
    <w:rsid w:val="005C0B65"/>
    <w:rsid w:val="005C223A"/>
    <w:rsid w:val="005D1399"/>
    <w:rsid w:val="005D2588"/>
    <w:rsid w:val="005E162E"/>
    <w:rsid w:val="005E22E1"/>
    <w:rsid w:val="005E25E1"/>
    <w:rsid w:val="00604F47"/>
    <w:rsid w:val="00605DD4"/>
    <w:rsid w:val="0061071A"/>
    <w:rsid w:val="006130DC"/>
    <w:rsid w:val="00615414"/>
    <w:rsid w:val="00615F46"/>
    <w:rsid w:val="00625C52"/>
    <w:rsid w:val="00631371"/>
    <w:rsid w:val="00633D17"/>
    <w:rsid w:val="00636D42"/>
    <w:rsid w:val="00644A64"/>
    <w:rsid w:val="00644CDD"/>
    <w:rsid w:val="00646EC5"/>
    <w:rsid w:val="00652212"/>
    <w:rsid w:val="006578F5"/>
    <w:rsid w:val="00667B75"/>
    <w:rsid w:val="00671C9D"/>
    <w:rsid w:val="00682224"/>
    <w:rsid w:val="00686323"/>
    <w:rsid w:val="006918B5"/>
    <w:rsid w:val="006929BC"/>
    <w:rsid w:val="006935C0"/>
    <w:rsid w:val="00697236"/>
    <w:rsid w:val="006A1754"/>
    <w:rsid w:val="006B282D"/>
    <w:rsid w:val="006C1D8B"/>
    <w:rsid w:val="006C3671"/>
    <w:rsid w:val="006C391E"/>
    <w:rsid w:val="006C5C7E"/>
    <w:rsid w:val="006D3FC5"/>
    <w:rsid w:val="006D4DF1"/>
    <w:rsid w:val="006E0DA6"/>
    <w:rsid w:val="006E1BB2"/>
    <w:rsid w:val="006E4F11"/>
    <w:rsid w:val="006F0B14"/>
    <w:rsid w:val="006F3CC6"/>
    <w:rsid w:val="006F6C5E"/>
    <w:rsid w:val="00703BCC"/>
    <w:rsid w:val="00703CA7"/>
    <w:rsid w:val="00706F30"/>
    <w:rsid w:val="00707F27"/>
    <w:rsid w:val="00710E0B"/>
    <w:rsid w:val="0071614B"/>
    <w:rsid w:val="0071740F"/>
    <w:rsid w:val="007220F8"/>
    <w:rsid w:val="007224F0"/>
    <w:rsid w:val="00723ABF"/>
    <w:rsid w:val="00724495"/>
    <w:rsid w:val="0072674A"/>
    <w:rsid w:val="007317F3"/>
    <w:rsid w:val="00742FBC"/>
    <w:rsid w:val="0075000E"/>
    <w:rsid w:val="0076095C"/>
    <w:rsid w:val="007656EF"/>
    <w:rsid w:val="00770BD9"/>
    <w:rsid w:val="00771B2E"/>
    <w:rsid w:val="0079258F"/>
    <w:rsid w:val="00792D63"/>
    <w:rsid w:val="00795465"/>
    <w:rsid w:val="007A0A96"/>
    <w:rsid w:val="007A1C0C"/>
    <w:rsid w:val="007A5FC0"/>
    <w:rsid w:val="007B3609"/>
    <w:rsid w:val="007C0B7C"/>
    <w:rsid w:val="007C36FB"/>
    <w:rsid w:val="007D0CFE"/>
    <w:rsid w:val="007D0FBF"/>
    <w:rsid w:val="007D6488"/>
    <w:rsid w:val="007E0967"/>
    <w:rsid w:val="007E27CD"/>
    <w:rsid w:val="007E3373"/>
    <w:rsid w:val="007E5F06"/>
    <w:rsid w:val="008052EF"/>
    <w:rsid w:val="0081391A"/>
    <w:rsid w:val="008156EC"/>
    <w:rsid w:val="008253AB"/>
    <w:rsid w:val="00827E1A"/>
    <w:rsid w:val="00832733"/>
    <w:rsid w:val="008347A4"/>
    <w:rsid w:val="00836E91"/>
    <w:rsid w:val="008436DA"/>
    <w:rsid w:val="00845BBC"/>
    <w:rsid w:val="008532BB"/>
    <w:rsid w:val="00866578"/>
    <w:rsid w:val="00866AB4"/>
    <w:rsid w:val="008704F2"/>
    <w:rsid w:val="00871E61"/>
    <w:rsid w:val="0087676A"/>
    <w:rsid w:val="008816D1"/>
    <w:rsid w:val="00881A4E"/>
    <w:rsid w:val="00890BA3"/>
    <w:rsid w:val="00894A1D"/>
    <w:rsid w:val="008A47CA"/>
    <w:rsid w:val="008A634F"/>
    <w:rsid w:val="008B78B4"/>
    <w:rsid w:val="008C0615"/>
    <w:rsid w:val="008C1178"/>
    <w:rsid w:val="008D1A14"/>
    <w:rsid w:val="008D3C6D"/>
    <w:rsid w:val="008D4EBF"/>
    <w:rsid w:val="008D5B6A"/>
    <w:rsid w:val="008D67E1"/>
    <w:rsid w:val="008E13B7"/>
    <w:rsid w:val="008E2604"/>
    <w:rsid w:val="008E6093"/>
    <w:rsid w:val="008F4925"/>
    <w:rsid w:val="008F7BEA"/>
    <w:rsid w:val="00904E47"/>
    <w:rsid w:val="00905E2F"/>
    <w:rsid w:val="009105D5"/>
    <w:rsid w:val="00913443"/>
    <w:rsid w:val="00916498"/>
    <w:rsid w:val="009208BA"/>
    <w:rsid w:val="00920922"/>
    <w:rsid w:val="00920B78"/>
    <w:rsid w:val="00922B33"/>
    <w:rsid w:val="00931637"/>
    <w:rsid w:val="0093765F"/>
    <w:rsid w:val="0094461B"/>
    <w:rsid w:val="00956E32"/>
    <w:rsid w:val="00956E77"/>
    <w:rsid w:val="00961674"/>
    <w:rsid w:val="00962ED5"/>
    <w:rsid w:val="00964A1D"/>
    <w:rsid w:val="00964C54"/>
    <w:rsid w:val="00966A9B"/>
    <w:rsid w:val="00982CF1"/>
    <w:rsid w:val="0098556D"/>
    <w:rsid w:val="009864B4"/>
    <w:rsid w:val="0099721F"/>
    <w:rsid w:val="009A317B"/>
    <w:rsid w:val="009A374F"/>
    <w:rsid w:val="009A5553"/>
    <w:rsid w:val="009B036C"/>
    <w:rsid w:val="009B4CFA"/>
    <w:rsid w:val="009B7211"/>
    <w:rsid w:val="009C4513"/>
    <w:rsid w:val="009D603D"/>
    <w:rsid w:val="009D7B1B"/>
    <w:rsid w:val="009E0E18"/>
    <w:rsid w:val="009F528E"/>
    <w:rsid w:val="009F5C2E"/>
    <w:rsid w:val="00A0026D"/>
    <w:rsid w:val="00A1107C"/>
    <w:rsid w:val="00A17B5A"/>
    <w:rsid w:val="00A24039"/>
    <w:rsid w:val="00A3777D"/>
    <w:rsid w:val="00A37E70"/>
    <w:rsid w:val="00A446F6"/>
    <w:rsid w:val="00A5014B"/>
    <w:rsid w:val="00A546EE"/>
    <w:rsid w:val="00A5609F"/>
    <w:rsid w:val="00A56C96"/>
    <w:rsid w:val="00A63B23"/>
    <w:rsid w:val="00A67C6E"/>
    <w:rsid w:val="00A71F9C"/>
    <w:rsid w:val="00A72E0A"/>
    <w:rsid w:val="00A757D1"/>
    <w:rsid w:val="00A759AF"/>
    <w:rsid w:val="00A771C2"/>
    <w:rsid w:val="00A816F1"/>
    <w:rsid w:val="00A92560"/>
    <w:rsid w:val="00A938EF"/>
    <w:rsid w:val="00A962A9"/>
    <w:rsid w:val="00AA6B52"/>
    <w:rsid w:val="00AB462E"/>
    <w:rsid w:val="00AB7715"/>
    <w:rsid w:val="00AB7EB4"/>
    <w:rsid w:val="00AE067F"/>
    <w:rsid w:val="00AE61D2"/>
    <w:rsid w:val="00AF00E0"/>
    <w:rsid w:val="00AF2416"/>
    <w:rsid w:val="00AF76DB"/>
    <w:rsid w:val="00B018F7"/>
    <w:rsid w:val="00B07269"/>
    <w:rsid w:val="00B0747C"/>
    <w:rsid w:val="00B145DC"/>
    <w:rsid w:val="00B149BC"/>
    <w:rsid w:val="00B26A7C"/>
    <w:rsid w:val="00B31BAB"/>
    <w:rsid w:val="00B4491E"/>
    <w:rsid w:val="00B514DE"/>
    <w:rsid w:val="00B51CE9"/>
    <w:rsid w:val="00B612D6"/>
    <w:rsid w:val="00B62EE3"/>
    <w:rsid w:val="00B63E53"/>
    <w:rsid w:val="00B74540"/>
    <w:rsid w:val="00B75781"/>
    <w:rsid w:val="00B75BAD"/>
    <w:rsid w:val="00B8014C"/>
    <w:rsid w:val="00B83CDC"/>
    <w:rsid w:val="00B95DA1"/>
    <w:rsid w:val="00BA02B0"/>
    <w:rsid w:val="00BA1F65"/>
    <w:rsid w:val="00BB0281"/>
    <w:rsid w:val="00BC0C4B"/>
    <w:rsid w:val="00BC21A3"/>
    <w:rsid w:val="00BC3415"/>
    <w:rsid w:val="00BC7858"/>
    <w:rsid w:val="00BD03D8"/>
    <w:rsid w:val="00BD0B0B"/>
    <w:rsid w:val="00BD0C06"/>
    <w:rsid w:val="00BD6CB7"/>
    <w:rsid w:val="00BE5FE8"/>
    <w:rsid w:val="00BE6041"/>
    <w:rsid w:val="00BF06A2"/>
    <w:rsid w:val="00BF1A46"/>
    <w:rsid w:val="00BF2373"/>
    <w:rsid w:val="00BF4715"/>
    <w:rsid w:val="00BF5180"/>
    <w:rsid w:val="00C00814"/>
    <w:rsid w:val="00C00F88"/>
    <w:rsid w:val="00C04543"/>
    <w:rsid w:val="00C048F8"/>
    <w:rsid w:val="00C11F9E"/>
    <w:rsid w:val="00C13E33"/>
    <w:rsid w:val="00C142CE"/>
    <w:rsid w:val="00C15516"/>
    <w:rsid w:val="00C20193"/>
    <w:rsid w:val="00C27AE2"/>
    <w:rsid w:val="00C52047"/>
    <w:rsid w:val="00C62704"/>
    <w:rsid w:val="00C6651B"/>
    <w:rsid w:val="00C6740F"/>
    <w:rsid w:val="00C67966"/>
    <w:rsid w:val="00C778CB"/>
    <w:rsid w:val="00C8036B"/>
    <w:rsid w:val="00C809E9"/>
    <w:rsid w:val="00C823E7"/>
    <w:rsid w:val="00C826D3"/>
    <w:rsid w:val="00C83554"/>
    <w:rsid w:val="00C877D8"/>
    <w:rsid w:val="00C9425C"/>
    <w:rsid w:val="00C95EE6"/>
    <w:rsid w:val="00CA581B"/>
    <w:rsid w:val="00CB05CF"/>
    <w:rsid w:val="00CB20B7"/>
    <w:rsid w:val="00CB2C2C"/>
    <w:rsid w:val="00CC6953"/>
    <w:rsid w:val="00CD2668"/>
    <w:rsid w:val="00CE123B"/>
    <w:rsid w:val="00CE149C"/>
    <w:rsid w:val="00CE5FCF"/>
    <w:rsid w:val="00CF1FFA"/>
    <w:rsid w:val="00CF4447"/>
    <w:rsid w:val="00CF766D"/>
    <w:rsid w:val="00D01F39"/>
    <w:rsid w:val="00D04C7A"/>
    <w:rsid w:val="00D05D91"/>
    <w:rsid w:val="00D12169"/>
    <w:rsid w:val="00D202A5"/>
    <w:rsid w:val="00D304F8"/>
    <w:rsid w:val="00D30C6D"/>
    <w:rsid w:val="00D32BDD"/>
    <w:rsid w:val="00D3308A"/>
    <w:rsid w:val="00D33796"/>
    <w:rsid w:val="00D35671"/>
    <w:rsid w:val="00D35FED"/>
    <w:rsid w:val="00D36B56"/>
    <w:rsid w:val="00D37D55"/>
    <w:rsid w:val="00D47B05"/>
    <w:rsid w:val="00D57E75"/>
    <w:rsid w:val="00D60B09"/>
    <w:rsid w:val="00D647DE"/>
    <w:rsid w:val="00D64A74"/>
    <w:rsid w:val="00D84B5E"/>
    <w:rsid w:val="00D90EFA"/>
    <w:rsid w:val="00D92FCD"/>
    <w:rsid w:val="00D936F8"/>
    <w:rsid w:val="00D979CE"/>
    <w:rsid w:val="00DA049D"/>
    <w:rsid w:val="00DA3FE4"/>
    <w:rsid w:val="00DA4C27"/>
    <w:rsid w:val="00DA7E0F"/>
    <w:rsid w:val="00DB095D"/>
    <w:rsid w:val="00DC559F"/>
    <w:rsid w:val="00DC6B61"/>
    <w:rsid w:val="00DD448A"/>
    <w:rsid w:val="00DE54B9"/>
    <w:rsid w:val="00DE708D"/>
    <w:rsid w:val="00DF0FCA"/>
    <w:rsid w:val="00E062B6"/>
    <w:rsid w:val="00E15DA9"/>
    <w:rsid w:val="00E16464"/>
    <w:rsid w:val="00E305EB"/>
    <w:rsid w:val="00E352C3"/>
    <w:rsid w:val="00E435E2"/>
    <w:rsid w:val="00E44BB8"/>
    <w:rsid w:val="00E562C9"/>
    <w:rsid w:val="00E56B5E"/>
    <w:rsid w:val="00E56F5D"/>
    <w:rsid w:val="00E57171"/>
    <w:rsid w:val="00E60250"/>
    <w:rsid w:val="00E62D3E"/>
    <w:rsid w:val="00E6613E"/>
    <w:rsid w:val="00E72931"/>
    <w:rsid w:val="00E74FC8"/>
    <w:rsid w:val="00E803EE"/>
    <w:rsid w:val="00E80806"/>
    <w:rsid w:val="00E84C25"/>
    <w:rsid w:val="00E854B7"/>
    <w:rsid w:val="00E90DBF"/>
    <w:rsid w:val="00EA13C1"/>
    <w:rsid w:val="00EA6135"/>
    <w:rsid w:val="00ED0819"/>
    <w:rsid w:val="00ED0C29"/>
    <w:rsid w:val="00ED2C0E"/>
    <w:rsid w:val="00ED2E18"/>
    <w:rsid w:val="00EE1F66"/>
    <w:rsid w:val="00EF14BC"/>
    <w:rsid w:val="00EF2452"/>
    <w:rsid w:val="00EF3AFD"/>
    <w:rsid w:val="00EF3DE3"/>
    <w:rsid w:val="00EF52A3"/>
    <w:rsid w:val="00F00644"/>
    <w:rsid w:val="00F01E8A"/>
    <w:rsid w:val="00F02819"/>
    <w:rsid w:val="00F05230"/>
    <w:rsid w:val="00F14A21"/>
    <w:rsid w:val="00F214DE"/>
    <w:rsid w:val="00F217C0"/>
    <w:rsid w:val="00F2228E"/>
    <w:rsid w:val="00F224E5"/>
    <w:rsid w:val="00F22958"/>
    <w:rsid w:val="00F256E9"/>
    <w:rsid w:val="00F34169"/>
    <w:rsid w:val="00F35D5F"/>
    <w:rsid w:val="00F40383"/>
    <w:rsid w:val="00F41184"/>
    <w:rsid w:val="00F43FFE"/>
    <w:rsid w:val="00F451A4"/>
    <w:rsid w:val="00F477E2"/>
    <w:rsid w:val="00F51539"/>
    <w:rsid w:val="00F515AB"/>
    <w:rsid w:val="00F51D60"/>
    <w:rsid w:val="00F51E91"/>
    <w:rsid w:val="00F55108"/>
    <w:rsid w:val="00F57D8E"/>
    <w:rsid w:val="00F63552"/>
    <w:rsid w:val="00F63A4C"/>
    <w:rsid w:val="00F7375D"/>
    <w:rsid w:val="00F7750A"/>
    <w:rsid w:val="00F86D90"/>
    <w:rsid w:val="00F87AAD"/>
    <w:rsid w:val="00FA021D"/>
    <w:rsid w:val="00FB3652"/>
    <w:rsid w:val="00FC1D5F"/>
    <w:rsid w:val="00FC43B0"/>
    <w:rsid w:val="00FD45C0"/>
    <w:rsid w:val="00FE6C48"/>
    <w:rsid w:val="00FF29C7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6EF125E3-19ED-4507-9D2F-F5CC7044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3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0F7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F7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F7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F7E"/>
    <w:rPr>
      <w:sz w:val="20"/>
      <w:szCs w:val="20"/>
    </w:rPr>
  </w:style>
  <w:style w:type="table" w:customStyle="1" w:styleId="1">
    <w:name w:val="表格格線1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格格線3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無清單1"/>
    <w:next w:val="a2"/>
    <w:uiPriority w:val="99"/>
    <w:semiHidden/>
    <w:unhideWhenUsed/>
    <w:rsid w:val="00AF00E0"/>
  </w:style>
  <w:style w:type="table" w:customStyle="1" w:styleId="5">
    <w:name w:val="表格格線5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AF00E0"/>
    <w:pPr>
      <w:widowControl/>
      <w:spacing w:before="100" w:beforeAutospacing="1" w:after="119"/>
    </w:pPr>
    <w:rPr>
      <w:rFonts w:ascii="Times New Roman" w:eastAsia="Times New Roman" w:hAnsi="Times New Roman" w:cs="Times New Roman"/>
      <w:kern w:val="0"/>
      <w:szCs w:val="24"/>
    </w:rPr>
  </w:style>
  <w:style w:type="table" w:customStyle="1" w:styleId="6">
    <w:name w:val="表格格線6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格格線7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格格線8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格格線9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無清單2"/>
    <w:next w:val="a2"/>
    <w:uiPriority w:val="99"/>
    <w:semiHidden/>
    <w:unhideWhenUsed/>
    <w:rsid w:val="00AF00E0"/>
  </w:style>
  <w:style w:type="table" w:customStyle="1" w:styleId="100">
    <w:name w:val="表格格線10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1"/>
    <w:basedOn w:val="a1"/>
    <w:next w:val="a3"/>
    <w:uiPriority w:val="39"/>
    <w:rsid w:val="00AF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B462E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321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321A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57C5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57C59"/>
  </w:style>
  <w:style w:type="character" w:customStyle="1" w:styleId="ad">
    <w:name w:val="註解文字 字元"/>
    <w:basedOn w:val="a0"/>
    <w:link w:val="ac"/>
    <w:uiPriority w:val="99"/>
    <w:semiHidden/>
    <w:rsid w:val="00557C5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57C5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57C59"/>
    <w:rPr>
      <w:b/>
      <w:bCs/>
    </w:rPr>
  </w:style>
  <w:style w:type="paragraph" w:styleId="af0">
    <w:name w:val="Revision"/>
    <w:hidden/>
    <w:uiPriority w:val="99"/>
    <w:semiHidden/>
    <w:rsid w:val="00557C59"/>
  </w:style>
  <w:style w:type="character" w:customStyle="1" w:styleId="trans5">
    <w:name w:val="trans5"/>
    <w:basedOn w:val="a0"/>
    <w:rsid w:val="008A634F"/>
    <w:rPr>
      <w:b/>
      <w:bCs/>
      <w:i w:val="0"/>
      <w:iCs w:val="0"/>
      <w:vanish w:val="0"/>
      <w:webHidden w:val="0"/>
      <w:color w:val="0096A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456858-4ECA-4710-9804-6FC76606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Government of HKSARG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SC TSE</dc:creator>
  <cp:lastModifiedBy>AOI(TA)A</cp:lastModifiedBy>
  <cp:revision>19</cp:revision>
  <cp:lastPrinted>2019-06-05T09:06:00Z</cp:lastPrinted>
  <dcterms:created xsi:type="dcterms:W3CDTF">2019-05-28T01:31:00Z</dcterms:created>
  <dcterms:modified xsi:type="dcterms:W3CDTF">2019-07-05T03:05:00Z</dcterms:modified>
</cp:coreProperties>
</file>