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sz w:val="22"/>
          <w:b/>
        </w:rPr>
        <w:t xml:space="preserve">EDITABLE INTERNAL COPY — NOT A CLIENT RELEASE</w:t>
      </w:r>
    </w:p>
    <w:p>
      <w:pPr>
        <w:spacing w:after="80"/>
      </w:pPr>
      <w:r>
        <w:rPr>
          <w:sz w:val="22"/>
        </w:rPr>
        <w:t xml:space="preserve">Editing changes the file fingerprint. No review or release approval transfers to an edited copy.</w:t>
      </w:r>
    </w:p>
    <w:p>
      <w:pPr>
        <w:spacing w:after="80"/>
      </w:pPr>
      <w:r>
        <w:rPr>
          <w:sz w:val="22"/>
        </w:rPr>
        <w:t xml:space="preserve">Frozen report SHA-256: aaaaaaaaaaaaaaaaaaaaaaaaaaaaaaaaaaaaaaaaaaaaaaaaaaaaaaaaaaaaaaaa</w:t>
      </w:r>
    </w:p>
    <w:p>
      <w:pPr>
        <w:spacing w:after="80"/>
      </w:pPr>
      <w:r>
        <w:rPr>
          <w:sz w:val="22"/>
          <w:b/>
        </w:rPr>
        <w:t xml:space="preserve">INVEOS INTERNAL REPORT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sz w:val="22"/>
        </w:rPr>
        <w:t xml:space="preserve">Case: SYN-DOCX-001 — Fictional Ελληνικά 日本語 café &lt;&amp;&gt;</w:t>
        <w:tab/>
        <w:t xml:space="preserve">text</w:t>
      </w:r>
    </w:p>
    <w:p>
      <w:pPr>
        <w:spacing w:after="80"/>
      </w:pPr>
      <w:r>
        <w:rPr>
          <w:sz w:val="22"/>
        </w:rPr>
        <w:t xml:space="preserve">Client: Fictional Paperworks</w:t>
      </w:r>
    </w:p>
    <w:p>
      <w:pPr>
        <w:spacing w:after="80"/>
      </w:pPr>
      <w:r>
        <w:rPr>
          <w:sz w:val="22"/>
        </w:rPr>
        <w:t xml:space="preserve">Jurisdiction: Fictional test scope</w:t>
      </w:r>
    </w:p>
    <w:p>
      <w:pPr>
        <w:spacing w:after="80"/>
      </w:pPr>
      <w:r>
        <w:rPr>
          <w:sz w:val="22"/>
        </w:rPr>
        <w:t xml:space="preserve">Scope: Fictional document verification only.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sz w:val="22"/>
          <w:b/>
        </w:rPr>
        <w:t xml:space="preserve">REPORT LIMITATIONS</w:t>
      </w:r>
    </w:p>
    <w:p>
      <w:pPr>
        <w:spacing w:after="80"/>
      </w:pPr>
      <w:r>
        <w:rPr>
          <w:sz w:val="22"/>
        </w:rPr>
        <w:t xml:space="preserve">Fictional fixture. No actual person, client or investigative record.</w:t>
      </w:r>
    </w:p>
    <w:sectPr>
      <w:pgSz w:w="11906" w:h="16838"/>
      <w:pgMar w:top="1134" w:right="1134" w:bottom="1134" w:left="1134" w:header="567" w:footer="567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item1.xml><?xml version="1.0" encoding="utf-8"?>
<inveos:model xmlns:inveos="urn:inveos:report-docx:v1" encoding="base64">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</inveos:model>
</file>