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sz w:val="22"/>
          <w:b/>
        </w:rPr>
        <w:t xml:space="preserve">EDITABLE REPORT COPY — VERIFY DISCLOSURE APPROVAL SEPARATELY</w:t>
      </w:r>
    </w:p>
    <w:p>
      <w:pPr>
        <w:spacing w:after="80"/>
      </w:pPr>
      <w:r>
        <w:rPr>
          <w:sz w:val="22"/>
        </w:rPr>
        <w:t xml:space="preserve">Editing changes the file fingerprint. No review or release approval transfers to an edited copy.</w:t>
      </w:r>
    </w:p>
    <w:p>
      <w:pPr>
        <w:spacing w:after="80"/>
      </w:pPr>
      <w:r>
        <w:rPr>
          <w:sz w:val="22"/>
        </w:rPr>
        <w:t xml:space="preserve">Frozen report SHA-256: aaaaaaaaaaaaaaaaaaaaaaaaaaaaaaaaaaaaaaaaaaaaaaaaaaaaaaaaaaaaaaaa</w:t>
      </w:r>
    </w:p>
    <w:p>
      <w:pPr>
        <w:spacing w:after="80"/>
      </w:pPr>
      <w:r>
        <w:rPr>
          <w:sz w:val="22"/>
          <w:b/>
        </w:rPr>
        <w:t xml:space="preserve">INVEOS INTERNAL REPORT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sz w:val="22"/>
        </w:rPr>
        <w:t xml:space="preserve">Case: SYN-OFFICE — Fictional Paperworks — Ελληνικά — 日本語 — café &lt;&amp;&gt;</w:t>
      </w:r>
    </w:p>
    <w:p>
      <w:pPr>
        <w:spacing w:after="80"/>
      </w:pPr>
      <w:r>
        <w:rPr>
          <w:sz w:val="22"/>
        </w:rPr>
        <w:t xml:space="preserve">Client: Fictional Paperworks</w:t>
      </w:r>
    </w:p>
    <w:p>
      <w:pPr>
        <w:spacing w:after="80"/>
      </w:pPr>
      <w:r>
        <w:rPr>
          <w:sz w:val="22"/>
        </w:rPr>
        <w:t xml:space="preserve">Jurisdiction: England</w:t>
      </w:r>
    </w:p>
    <w:p>
      <w:pPr>
        <w:spacing w:after="80"/>
      </w:pPr>
      <w:r>
        <w:rPr>
          <w:sz w:val="22"/>
        </w:rPr>
        <w:t xml:space="preserve">Scope: Fictional supplied records only.</w:t>
        <w:tab/>
        <w:t xml:space="preserve">Editor compatibility fixture.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sz w:val="22"/>
          <w:b/>
        </w:rPr>
        <w:t xml:space="preserve">WORKING CONTEXT — NOT FINDINGS</w:t>
      </w:r>
    </w:p>
    <w:p>
      <w:pPr>
        <w:spacing w:after="80"/>
      </w:pPr>
      <w:r>
        <w:rPr>
          <w:sz w:val="22"/>
        </w:rPr>
        <w:t xml:space="preserve">Objectives</w:t>
      </w:r>
    </w:p>
    <w:p>
      <w:pPr>
        <w:spacing w:after="80"/>
      </w:pPr>
      <w:r>
        <w:rPr>
          <w:sz w:val="22"/>
        </w:rPr>
        <w:t xml:space="preserve">Questions</w:t>
      </w:r>
    </w:p>
    <w:p>
      <w:pPr>
        <w:spacing w:after="80"/>
      </w:pPr>
      <w:r>
        <w:rPr>
          <w:sz w:val="22"/>
        </w:rPr>
        <w:t xml:space="preserve">Hypotheses</w:t>
      </w:r>
    </w:p>
    <w:p>
      <w:pPr>
        <w:spacing w:after="80"/>
      </w:pPr>
      <w:r>
        <w:rPr>
          <w:sz w:val="22"/>
        </w:rPr>
        <w:t xml:space="preserve">Blocked tasks</w:t>
      </w:r>
    </w:p>
    <w:p>
      <w:pPr>
        <w:spacing w:after="80"/>
      </w:pPr>
      <w:r>
        <w:rPr>
          <w:sz w:val="22"/>
        </w:rPr>
        <w:t xml:space="preserve"/>
      </w:r>
    </w:p>
    <w:p>
      <w:pPr>
        <w:spacing w:after="80"/>
      </w:pPr>
      <w:r>
        <w:rPr>
          <w:sz w:val="22"/>
          <w:b/>
        </w:rPr>
        <w:t xml:space="preserve">REPORT LIMITATIONS</w:t>
      </w:r>
    </w:p>
    <w:p>
      <w:pPr>
        <w:spacing w:after="80"/>
      </w:pPr>
      <w:r>
        <w:rPr>
          <w:sz w:val="22"/>
        </w:rPr>
        <w:t xml:space="preserve">Fictional fixture. No legal or professional acceptance.</w:t>
      </w:r>
    </w:p>
    <w:sectPr>
      <w:pgSz w:w="11906" w:h="16838"/>
      <w:pgMar w:top="1134" w:right="1134" w:bottom="1134" w:left="1134" w:header="567" w:footer="567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/Relationships>
</file>

<file path=customXml/item1.xml><?xml version="1.0" encoding="utf-8"?>
<inveos:model xmlns:inveos="urn:inveos:report-docx:v1" encoding="base64">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</inveos:model>
</file>