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5D2FE4" w14:textId="5C27FF7B" w:rsidR="001E432C" w:rsidRPr="003F7FFA" w:rsidRDefault="00441B82">
      <w:pPr>
        <w:rPr>
          <w:rFonts w:ascii="Times New Roman" w:hAnsi="Times New Roman" w:cs="Times New Roman"/>
          <w:sz w:val="28"/>
          <w:szCs w:val="28"/>
        </w:rPr>
      </w:pPr>
      <w:r w:rsidRPr="003F7FFA">
        <w:rPr>
          <w:rFonts w:ascii="Times New Roman" w:hAnsi="Times New Roman" w:cs="Times New Roman"/>
          <w:sz w:val="28"/>
          <w:szCs w:val="28"/>
        </w:rPr>
        <w:t>Слайд 1</w:t>
      </w:r>
    </w:p>
    <w:p w14:paraId="3DDB2539" w14:textId="77777777" w:rsidR="00441B82" w:rsidRPr="003F7FFA" w:rsidRDefault="00441B82">
      <w:pPr>
        <w:rPr>
          <w:rFonts w:ascii="Times New Roman" w:hAnsi="Times New Roman" w:cs="Times New Roman"/>
          <w:sz w:val="28"/>
          <w:szCs w:val="28"/>
        </w:rPr>
      </w:pPr>
    </w:p>
    <w:p w14:paraId="1470D56C" w14:textId="78D21D56" w:rsidR="00441B82" w:rsidRPr="003F7FFA" w:rsidRDefault="00441B82">
      <w:pPr>
        <w:rPr>
          <w:rFonts w:ascii="Times New Roman" w:hAnsi="Times New Roman" w:cs="Times New Roman"/>
          <w:sz w:val="28"/>
          <w:szCs w:val="28"/>
        </w:rPr>
      </w:pPr>
      <w:r w:rsidRPr="003F7FFA">
        <w:rPr>
          <w:rFonts w:ascii="Times New Roman" w:hAnsi="Times New Roman" w:cs="Times New Roman"/>
          <w:sz w:val="28"/>
          <w:szCs w:val="28"/>
        </w:rPr>
        <w:t>Слайд 2</w:t>
      </w:r>
    </w:p>
    <w:p w14:paraId="6C1771E2" w14:textId="7A9F93DC" w:rsidR="00441B82" w:rsidRPr="003F7FFA" w:rsidRDefault="00576B18">
      <w:pPr>
        <w:rPr>
          <w:rFonts w:ascii="Times New Roman" w:hAnsi="Times New Roman" w:cs="Times New Roman"/>
          <w:sz w:val="28"/>
          <w:szCs w:val="28"/>
        </w:rPr>
      </w:pPr>
      <w:r w:rsidRPr="003F7FFA">
        <w:rPr>
          <w:rFonts w:ascii="Times New Roman" w:hAnsi="Times New Roman" w:cs="Times New Roman"/>
          <w:sz w:val="28"/>
          <w:szCs w:val="28"/>
        </w:rPr>
        <w:t>Выпускная квалификационная работа посвящена разработке модуля системы поддержки принятия решений (СППР) в составе информационной системы RECASP (</w:t>
      </w:r>
      <w:proofErr w:type="spellStart"/>
      <w:r w:rsidRPr="003F7FFA">
        <w:rPr>
          <w:rFonts w:ascii="Times New Roman" w:hAnsi="Times New Roman" w:cs="Times New Roman"/>
          <w:sz w:val="28"/>
          <w:szCs w:val="28"/>
        </w:rPr>
        <w:t>Reengineering</w:t>
      </w:r>
      <w:proofErr w:type="spellEnd"/>
      <w:r w:rsidRPr="003F7FFA">
        <w:rPr>
          <w:rFonts w:ascii="Times New Roman" w:hAnsi="Times New Roman" w:cs="Times New Roman"/>
          <w:sz w:val="28"/>
          <w:szCs w:val="28"/>
        </w:rPr>
        <w:t xml:space="preserve"> </w:t>
      </w:r>
      <w:proofErr w:type="spellStart"/>
      <w:r w:rsidRPr="003F7FFA">
        <w:rPr>
          <w:rFonts w:ascii="Times New Roman" w:hAnsi="Times New Roman" w:cs="Times New Roman"/>
          <w:sz w:val="28"/>
          <w:szCs w:val="28"/>
        </w:rPr>
        <w:t>of</w:t>
      </w:r>
      <w:proofErr w:type="spellEnd"/>
      <w:r w:rsidRPr="003F7FFA">
        <w:rPr>
          <w:rFonts w:ascii="Times New Roman" w:hAnsi="Times New Roman" w:cs="Times New Roman"/>
          <w:sz w:val="28"/>
          <w:szCs w:val="28"/>
        </w:rPr>
        <w:t xml:space="preserve"> Computer Analysis </w:t>
      </w:r>
      <w:proofErr w:type="spellStart"/>
      <w:r w:rsidRPr="003F7FFA">
        <w:rPr>
          <w:rFonts w:ascii="Times New Roman" w:hAnsi="Times New Roman" w:cs="Times New Roman"/>
          <w:sz w:val="28"/>
          <w:szCs w:val="28"/>
        </w:rPr>
        <w:t>of</w:t>
      </w:r>
      <w:proofErr w:type="spellEnd"/>
      <w:r w:rsidRPr="003F7FFA">
        <w:rPr>
          <w:rFonts w:ascii="Times New Roman" w:hAnsi="Times New Roman" w:cs="Times New Roman"/>
          <w:sz w:val="28"/>
          <w:szCs w:val="28"/>
        </w:rPr>
        <w:t xml:space="preserve"> </w:t>
      </w:r>
      <w:proofErr w:type="spellStart"/>
      <w:r w:rsidRPr="003F7FFA">
        <w:rPr>
          <w:rFonts w:ascii="Times New Roman" w:hAnsi="Times New Roman" w:cs="Times New Roman"/>
          <w:sz w:val="28"/>
          <w:szCs w:val="28"/>
        </w:rPr>
        <w:t>the</w:t>
      </w:r>
      <w:proofErr w:type="spellEnd"/>
      <w:r w:rsidRPr="003F7FFA">
        <w:rPr>
          <w:rFonts w:ascii="Times New Roman" w:hAnsi="Times New Roman" w:cs="Times New Roman"/>
          <w:sz w:val="28"/>
          <w:szCs w:val="28"/>
        </w:rPr>
        <w:t xml:space="preserve"> </w:t>
      </w:r>
      <w:proofErr w:type="spellStart"/>
      <w:r w:rsidRPr="003F7FFA">
        <w:rPr>
          <w:rFonts w:ascii="Times New Roman" w:hAnsi="Times New Roman" w:cs="Times New Roman"/>
          <w:sz w:val="28"/>
          <w:szCs w:val="28"/>
        </w:rPr>
        <w:t>Seismic</w:t>
      </w:r>
      <w:proofErr w:type="spellEnd"/>
      <w:r w:rsidRPr="003F7FFA">
        <w:rPr>
          <w:rFonts w:ascii="Times New Roman" w:hAnsi="Times New Roman" w:cs="Times New Roman"/>
          <w:sz w:val="28"/>
          <w:szCs w:val="28"/>
        </w:rPr>
        <w:t xml:space="preserve"> Process) для прогнозирования землетрясений. Землетрясения – одни из самых разрушительных природных катаклизмов, способных приводить к огромным жертвам и материальному ущербу. В Байкальской рифтовой зоне ежегодно регистрируется несколько тысяч сейсмических событий, поэтому необходимость надёжного прогноза очень актуальна. В настоящее время точное короткосрочное предсказание землетрясений остаётся нерешённой научной проблемой. Это усиливает роль методов искусственного интеллекта и СППР, способных оперативно обрабатывать разнородные данные и формировать рекомендации для снижения риска природных катастроф. Сочетание ИИ-подходов с возможностями СППР представляется особенно актуальным для снижения последствий сейсмических событий</w:t>
      </w:r>
    </w:p>
    <w:p w14:paraId="2CBD1443" w14:textId="77777777" w:rsidR="006D3388" w:rsidRPr="003F7FFA" w:rsidRDefault="006D3388">
      <w:pPr>
        <w:rPr>
          <w:rFonts w:ascii="Times New Roman" w:hAnsi="Times New Roman" w:cs="Times New Roman"/>
          <w:sz w:val="28"/>
          <w:szCs w:val="28"/>
        </w:rPr>
      </w:pPr>
    </w:p>
    <w:p w14:paraId="116BE01E" w14:textId="79C24424" w:rsidR="00FF5E7F" w:rsidRPr="003F7FFA" w:rsidRDefault="00FF5E7F">
      <w:pPr>
        <w:rPr>
          <w:rFonts w:ascii="Times New Roman" w:hAnsi="Times New Roman" w:cs="Times New Roman"/>
          <w:sz w:val="28"/>
          <w:szCs w:val="28"/>
        </w:rPr>
      </w:pPr>
      <w:r w:rsidRPr="003F7FFA">
        <w:rPr>
          <w:rFonts w:ascii="Times New Roman" w:hAnsi="Times New Roman" w:cs="Times New Roman"/>
          <w:sz w:val="28"/>
          <w:szCs w:val="28"/>
        </w:rPr>
        <w:t>Слайд 3</w:t>
      </w:r>
    </w:p>
    <w:p w14:paraId="0F538F54" w14:textId="5E902972" w:rsidR="006D3388" w:rsidRPr="006D3388" w:rsidRDefault="006D3388" w:rsidP="006D3388">
      <w:pPr>
        <w:rPr>
          <w:rFonts w:ascii="Times New Roman" w:hAnsi="Times New Roman" w:cs="Times New Roman"/>
          <w:sz w:val="28"/>
          <w:szCs w:val="28"/>
        </w:rPr>
      </w:pPr>
      <w:r w:rsidRPr="006D3388">
        <w:rPr>
          <w:rFonts w:ascii="Times New Roman" w:hAnsi="Times New Roman" w:cs="Times New Roman"/>
          <w:sz w:val="28"/>
          <w:szCs w:val="28"/>
        </w:rPr>
        <w:t>Целью работы является проектирование модуля СППР в составе системы RECASP, предназначенного для прогнозирования землетрясений. Для достижения этой цели были поставлены следующие задачи:</w:t>
      </w:r>
    </w:p>
    <w:p w14:paraId="13AE37D3" w14:textId="597A2C2E" w:rsidR="006D3388" w:rsidRPr="006D3388" w:rsidRDefault="006D3388" w:rsidP="006D3388">
      <w:pPr>
        <w:numPr>
          <w:ilvl w:val="0"/>
          <w:numId w:val="8"/>
        </w:numPr>
        <w:rPr>
          <w:rFonts w:ascii="Times New Roman" w:hAnsi="Times New Roman" w:cs="Times New Roman"/>
          <w:sz w:val="28"/>
          <w:szCs w:val="28"/>
        </w:rPr>
      </w:pPr>
      <w:r w:rsidRPr="006D3388">
        <w:rPr>
          <w:rFonts w:ascii="Times New Roman" w:hAnsi="Times New Roman" w:cs="Times New Roman"/>
          <w:sz w:val="28"/>
          <w:szCs w:val="28"/>
        </w:rPr>
        <w:t>Провести анализ существующих СППР и современных методов прогнозирования природных катастроф, выявить их ограничения.</w:t>
      </w:r>
    </w:p>
    <w:p w14:paraId="1DA056DF" w14:textId="27382168" w:rsidR="006D3388" w:rsidRPr="006D3388" w:rsidRDefault="006D3388" w:rsidP="006D3388">
      <w:pPr>
        <w:numPr>
          <w:ilvl w:val="0"/>
          <w:numId w:val="8"/>
        </w:numPr>
        <w:rPr>
          <w:rFonts w:ascii="Times New Roman" w:hAnsi="Times New Roman" w:cs="Times New Roman"/>
          <w:sz w:val="28"/>
          <w:szCs w:val="28"/>
        </w:rPr>
      </w:pPr>
      <w:r w:rsidRPr="006D3388">
        <w:rPr>
          <w:rFonts w:ascii="Times New Roman" w:hAnsi="Times New Roman" w:cs="Times New Roman"/>
          <w:sz w:val="28"/>
          <w:szCs w:val="28"/>
        </w:rPr>
        <w:t>Исследовать возможности применения нейросетей и методов машинного обучения в сейсмологии и геофизике, обобщить успешные примеры их использования</w:t>
      </w:r>
    </w:p>
    <w:p w14:paraId="2B316BD9" w14:textId="2F6649A1" w:rsidR="006D3388" w:rsidRPr="006D3388" w:rsidRDefault="006D3388" w:rsidP="006D3388">
      <w:pPr>
        <w:numPr>
          <w:ilvl w:val="0"/>
          <w:numId w:val="8"/>
        </w:numPr>
        <w:rPr>
          <w:rFonts w:ascii="Times New Roman" w:hAnsi="Times New Roman" w:cs="Times New Roman"/>
          <w:sz w:val="28"/>
          <w:szCs w:val="28"/>
        </w:rPr>
      </w:pPr>
      <w:r w:rsidRPr="006D3388">
        <w:rPr>
          <w:rFonts w:ascii="Times New Roman" w:hAnsi="Times New Roman" w:cs="Times New Roman"/>
          <w:sz w:val="28"/>
          <w:szCs w:val="28"/>
        </w:rPr>
        <w:t>Проанализировать архитектуру и функциональные возможности системы RECASP, определить места интеграции модуля прогнозирования в общую систему.</w:t>
      </w:r>
    </w:p>
    <w:p w14:paraId="22033E93" w14:textId="4796B725" w:rsidR="006D3388" w:rsidRPr="006D3388" w:rsidRDefault="006D3388" w:rsidP="006D3388">
      <w:pPr>
        <w:numPr>
          <w:ilvl w:val="0"/>
          <w:numId w:val="8"/>
        </w:numPr>
        <w:rPr>
          <w:rFonts w:ascii="Times New Roman" w:hAnsi="Times New Roman" w:cs="Times New Roman"/>
          <w:sz w:val="28"/>
          <w:szCs w:val="28"/>
        </w:rPr>
      </w:pPr>
      <w:r w:rsidRPr="006D3388">
        <w:rPr>
          <w:rFonts w:ascii="Times New Roman" w:hAnsi="Times New Roman" w:cs="Times New Roman"/>
          <w:sz w:val="28"/>
          <w:szCs w:val="28"/>
        </w:rPr>
        <w:t>Сформулировать требования к модулю СППР и разработать концептуальную архитектуру данного модуля.</w:t>
      </w:r>
    </w:p>
    <w:p w14:paraId="71843F9A" w14:textId="77777777" w:rsidR="006D3388" w:rsidRPr="003F7FFA" w:rsidRDefault="006D3388" w:rsidP="006D3388">
      <w:pPr>
        <w:numPr>
          <w:ilvl w:val="0"/>
          <w:numId w:val="8"/>
        </w:numPr>
        <w:rPr>
          <w:rFonts w:ascii="Times New Roman" w:hAnsi="Times New Roman" w:cs="Times New Roman"/>
          <w:sz w:val="28"/>
          <w:szCs w:val="28"/>
        </w:rPr>
      </w:pPr>
      <w:r w:rsidRPr="006D3388">
        <w:rPr>
          <w:rFonts w:ascii="Times New Roman" w:hAnsi="Times New Roman" w:cs="Times New Roman"/>
          <w:sz w:val="28"/>
          <w:szCs w:val="28"/>
        </w:rPr>
        <w:t>Выбрать и адаптировать алгоритмы прогнозирования (такие как KDE и ETAS), а также реализовать интеграцию экспертных правил и систему валидации качества моделей</w:t>
      </w:r>
    </w:p>
    <w:p w14:paraId="1695AD7D" w14:textId="5007CDE8" w:rsidR="00D21366" w:rsidRPr="003F7FFA" w:rsidRDefault="00D21366" w:rsidP="00D21366">
      <w:pPr>
        <w:ind w:left="360"/>
        <w:rPr>
          <w:rFonts w:ascii="Times New Roman" w:hAnsi="Times New Roman" w:cs="Times New Roman"/>
          <w:sz w:val="28"/>
          <w:szCs w:val="28"/>
        </w:rPr>
      </w:pPr>
    </w:p>
    <w:p w14:paraId="18A6CDCC" w14:textId="3E523074" w:rsidR="00D21366" w:rsidRPr="003F7FFA" w:rsidRDefault="00D21366" w:rsidP="00D21366">
      <w:pPr>
        <w:ind w:left="360"/>
        <w:rPr>
          <w:rFonts w:ascii="Times New Roman" w:hAnsi="Times New Roman" w:cs="Times New Roman"/>
          <w:sz w:val="28"/>
          <w:szCs w:val="28"/>
        </w:rPr>
      </w:pPr>
      <w:r w:rsidRPr="003F7FFA">
        <w:rPr>
          <w:rFonts w:ascii="Times New Roman" w:hAnsi="Times New Roman" w:cs="Times New Roman"/>
          <w:sz w:val="28"/>
          <w:szCs w:val="28"/>
        </w:rPr>
        <w:lastRenderedPageBreak/>
        <w:t>Слайд 4</w:t>
      </w:r>
    </w:p>
    <w:p w14:paraId="40288BA1" w14:textId="77777777" w:rsidR="00CB6D40" w:rsidRPr="00CB6D40" w:rsidRDefault="00D21366" w:rsidP="00CB6D40">
      <w:pPr>
        <w:ind w:left="360"/>
        <w:rPr>
          <w:rFonts w:ascii="Times New Roman" w:hAnsi="Times New Roman" w:cs="Times New Roman"/>
          <w:sz w:val="28"/>
          <w:szCs w:val="28"/>
        </w:rPr>
      </w:pPr>
      <w:r w:rsidRPr="003F7FFA">
        <w:rPr>
          <w:rFonts w:ascii="Times New Roman" w:hAnsi="Times New Roman" w:cs="Times New Roman"/>
          <w:sz w:val="28"/>
          <w:szCs w:val="28"/>
        </w:rPr>
        <w:t xml:space="preserve">Объектом исследования являются процессы прогнозирования сейсмических рисков в геологически активных регионах (на примере Байкальской рифтовой зоны) Предметом исследования выступают ансамблевые модели прогноза на основе ядровой оценки плотности (KDE) и эпидемической модели вторичных толчков (ETAS) в сочетании с правило-ориентированной экспертной системой (библиотека </w:t>
      </w:r>
      <w:proofErr w:type="spellStart"/>
      <w:r w:rsidRPr="003F7FFA">
        <w:rPr>
          <w:rFonts w:ascii="Times New Roman" w:hAnsi="Times New Roman" w:cs="Times New Roman"/>
          <w:sz w:val="28"/>
          <w:szCs w:val="28"/>
        </w:rPr>
        <w:t>Experta</w:t>
      </w:r>
      <w:proofErr w:type="spellEnd"/>
      <w:r w:rsidRPr="003F7FFA">
        <w:rPr>
          <w:rFonts w:ascii="Times New Roman" w:hAnsi="Times New Roman" w:cs="Times New Roman"/>
          <w:sz w:val="28"/>
          <w:szCs w:val="28"/>
        </w:rPr>
        <w:t xml:space="preserve">) для комплексного прогноза и </w:t>
      </w:r>
      <w:r w:rsidRPr="00CB6D40">
        <w:rPr>
          <w:rFonts w:ascii="Times New Roman" w:hAnsi="Times New Roman" w:cs="Times New Roman"/>
          <w:sz w:val="28"/>
          <w:szCs w:val="28"/>
        </w:rPr>
        <w:t xml:space="preserve">поддержки решений. </w:t>
      </w:r>
      <w:r w:rsidR="00CB6D40" w:rsidRPr="00CB6D40">
        <w:rPr>
          <w:rFonts w:ascii="Times New Roman" w:hAnsi="Times New Roman" w:cs="Times New Roman"/>
          <w:b/>
          <w:bCs/>
          <w:sz w:val="28"/>
          <w:szCs w:val="28"/>
        </w:rPr>
        <w:t>Научная новизна</w:t>
      </w:r>
      <w:r w:rsidR="00CB6D40" w:rsidRPr="00CB6D40">
        <w:rPr>
          <w:rFonts w:ascii="Times New Roman" w:hAnsi="Times New Roman" w:cs="Times New Roman"/>
          <w:sz w:val="28"/>
          <w:szCs w:val="28"/>
        </w:rPr>
        <w:t xml:space="preserve"> проявляется в двухуровневой архитектуре прогноза, представленной справа на схеме:</w:t>
      </w:r>
    </w:p>
    <w:p w14:paraId="6E8168C4" w14:textId="77777777" w:rsidR="00CB6D40" w:rsidRPr="00CB6D40" w:rsidRDefault="00CB6D40" w:rsidP="00CB6D40">
      <w:pPr>
        <w:numPr>
          <w:ilvl w:val="0"/>
          <w:numId w:val="10"/>
        </w:numPr>
        <w:rPr>
          <w:rFonts w:ascii="Times New Roman" w:hAnsi="Times New Roman" w:cs="Times New Roman"/>
          <w:sz w:val="28"/>
          <w:szCs w:val="28"/>
        </w:rPr>
      </w:pPr>
      <w:r w:rsidRPr="00CB6D40">
        <w:rPr>
          <w:rFonts w:ascii="Times New Roman" w:hAnsi="Times New Roman" w:cs="Times New Roman"/>
          <w:b/>
          <w:bCs/>
          <w:sz w:val="28"/>
          <w:szCs w:val="28"/>
        </w:rPr>
        <w:t>KDE</w:t>
      </w:r>
      <w:r w:rsidRPr="00CB6D40">
        <w:rPr>
          <w:rFonts w:ascii="Times New Roman" w:hAnsi="Times New Roman" w:cs="Times New Roman"/>
          <w:sz w:val="28"/>
          <w:szCs w:val="28"/>
        </w:rPr>
        <w:t xml:space="preserve"> формирует базовую карту вероятностей на основе исторического каталога.</w:t>
      </w:r>
    </w:p>
    <w:p w14:paraId="759D19C4" w14:textId="77777777" w:rsidR="00CB6D40" w:rsidRPr="00CB6D40" w:rsidRDefault="00CB6D40" w:rsidP="00CB6D40">
      <w:pPr>
        <w:numPr>
          <w:ilvl w:val="0"/>
          <w:numId w:val="10"/>
        </w:numPr>
        <w:rPr>
          <w:rFonts w:ascii="Times New Roman" w:hAnsi="Times New Roman" w:cs="Times New Roman"/>
          <w:sz w:val="28"/>
          <w:szCs w:val="28"/>
        </w:rPr>
      </w:pPr>
      <w:r w:rsidRPr="00CB6D40">
        <w:rPr>
          <w:rFonts w:ascii="Times New Roman" w:hAnsi="Times New Roman" w:cs="Times New Roman"/>
          <w:b/>
          <w:bCs/>
          <w:sz w:val="28"/>
          <w:szCs w:val="28"/>
        </w:rPr>
        <w:t>ETAS</w:t>
      </w:r>
      <w:r w:rsidRPr="00CB6D40">
        <w:rPr>
          <w:rFonts w:ascii="Times New Roman" w:hAnsi="Times New Roman" w:cs="Times New Roman"/>
          <w:sz w:val="28"/>
          <w:szCs w:val="28"/>
        </w:rPr>
        <w:t xml:space="preserve"> оперативно корректирует прогноз, моделируя </w:t>
      </w:r>
      <w:proofErr w:type="spellStart"/>
      <w:r w:rsidRPr="00CB6D40">
        <w:rPr>
          <w:rFonts w:ascii="Times New Roman" w:hAnsi="Times New Roman" w:cs="Times New Roman"/>
          <w:sz w:val="28"/>
          <w:szCs w:val="28"/>
        </w:rPr>
        <w:t>афтершоковую</w:t>
      </w:r>
      <w:proofErr w:type="spellEnd"/>
      <w:r w:rsidRPr="00CB6D40">
        <w:rPr>
          <w:rFonts w:ascii="Times New Roman" w:hAnsi="Times New Roman" w:cs="Times New Roman"/>
          <w:sz w:val="28"/>
          <w:szCs w:val="28"/>
        </w:rPr>
        <w:t xml:space="preserve"> «эпидемию».</w:t>
      </w:r>
    </w:p>
    <w:p w14:paraId="26F26A11" w14:textId="77777777" w:rsidR="00CB6D40" w:rsidRPr="00CB6D40" w:rsidRDefault="00CB6D40" w:rsidP="00CB6D40">
      <w:pPr>
        <w:numPr>
          <w:ilvl w:val="0"/>
          <w:numId w:val="10"/>
        </w:numPr>
        <w:rPr>
          <w:rFonts w:ascii="Times New Roman" w:hAnsi="Times New Roman" w:cs="Times New Roman"/>
          <w:sz w:val="28"/>
          <w:szCs w:val="28"/>
        </w:rPr>
      </w:pPr>
      <w:r w:rsidRPr="00CB6D40">
        <w:rPr>
          <w:rFonts w:ascii="Times New Roman" w:hAnsi="Times New Roman" w:cs="Times New Roman"/>
          <w:sz w:val="28"/>
          <w:szCs w:val="28"/>
        </w:rPr>
        <w:t xml:space="preserve">Итогом становится сводная </w:t>
      </w:r>
      <w:proofErr w:type="spellStart"/>
      <w:r w:rsidRPr="00CB6D40">
        <w:rPr>
          <w:rFonts w:ascii="Times New Roman" w:hAnsi="Times New Roman" w:cs="Times New Roman"/>
          <w:i/>
          <w:iCs/>
          <w:sz w:val="28"/>
          <w:szCs w:val="28"/>
        </w:rPr>
        <w:t>near-real-time</w:t>
      </w:r>
      <w:proofErr w:type="spellEnd"/>
      <w:r w:rsidRPr="00CB6D40">
        <w:rPr>
          <w:rFonts w:ascii="Times New Roman" w:hAnsi="Times New Roman" w:cs="Times New Roman"/>
          <w:sz w:val="28"/>
          <w:szCs w:val="28"/>
        </w:rPr>
        <w:t xml:space="preserve"> карта риска, которая и поступает в модуль поддержки решений.</w:t>
      </w:r>
    </w:p>
    <w:p w14:paraId="2E16C720" w14:textId="3CDBDD60" w:rsidR="00A3314C" w:rsidRPr="003F7FFA" w:rsidRDefault="00A3314C" w:rsidP="00D21366">
      <w:pPr>
        <w:ind w:left="360"/>
        <w:rPr>
          <w:rFonts w:ascii="Times New Roman" w:hAnsi="Times New Roman" w:cs="Times New Roman"/>
          <w:sz w:val="28"/>
          <w:szCs w:val="28"/>
        </w:rPr>
      </w:pPr>
    </w:p>
    <w:p w14:paraId="0538206B" w14:textId="0EEA423D" w:rsidR="00A3314C" w:rsidRPr="003F7FFA" w:rsidRDefault="00A3314C" w:rsidP="00D21366">
      <w:pPr>
        <w:ind w:left="360"/>
        <w:rPr>
          <w:rFonts w:ascii="Times New Roman" w:hAnsi="Times New Roman" w:cs="Times New Roman"/>
          <w:sz w:val="28"/>
          <w:szCs w:val="28"/>
        </w:rPr>
      </w:pPr>
      <w:r w:rsidRPr="003F7FFA">
        <w:rPr>
          <w:rFonts w:ascii="Times New Roman" w:hAnsi="Times New Roman" w:cs="Times New Roman"/>
          <w:sz w:val="28"/>
          <w:szCs w:val="28"/>
        </w:rPr>
        <w:t>Слайд 5</w:t>
      </w:r>
    </w:p>
    <w:p w14:paraId="191BAF91" w14:textId="0995DB65" w:rsidR="00A3314C" w:rsidRPr="003F7FFA" w:rsidRDefault="00A3314C" w:rsidP="00D21366">
      <w:pPr>
        <w:ind w:left="360"/>
        <w:rPr>
          <w:rFonts w:ascii="Times New Roman" w:hAnsi="Times New Roman" w:cs="Times New Roman"/>
          <w:sz w:val="28"/>
          <w:szCs w:val="28"/>
        </w:rPr>
      </w:pPr>
      <w:r w:rsidRPr="003F7FFA">
        <w:rPr>
          <w:rFonts w:ascii="Times New Roman" w:hAnsi="Times New Roman" w:cs="Times New Roman"/>
          <w:sz w:val="28"/>
          <w:szCs w:val="28"/>
        </w:rPr>
        <w:t xml:space="preserve">Предложенная архитектура модуля вписывается в трёхуровневую структуру системы RECASP. Модуль реализован в виде расширения (плагина) для RECASP, что обеспечивает гибкую интеграцию новых алгоритмов и моделей. В системе реализован клиент-серверный подход. Геопространственные данные о землетрясениях хранятся в СУБД </w:t>
      </w:r>
      <w:proofErr w:type="spellStart"/>
      <w:r w:rsidRPr="003F7FFA">
        <w:rPr>
          <w:rFonts w:ascii="Times New Roman" w:hAnsi="Times New Roman" w:cs="Times New Roman"/>
          <w:sz w:val="28"/>
          <w:szCs w:val="28"/>
        </w:rPr>
        <w:t>PostgreSQL</w:t>
      </w:r>
      <w:proofErr w:type="spellEnd"/>
      <w:r w:rsidRPr="003F7FFA">
        <w:rPr>
          <w:rFonts w:ascii="Times New Roman" w:hAnsi="Times New Roman" w:cs="Times New Roman"/>
          <w:sz w:val="28"/>
          <w:szCs w:val="28"/>
        </w:rPr>
        <w:t xml:space="preserve"> 15 с расширением </w:t>
      </w:r>
      <w:proofErr w:type="spellStart"/>
      <w:r w:rsidRPr="003F7FFA">
        <w:rPr>
          <w:rFonts w:ascii="Times New Roman" w:hAnsi="Times New Roman" w:cs="Times New Roman"/>
          <w:sz w:val="28"/>
          <w:szCs w:val="28"/>
        </w:rPr>
        <w:t>PostGIS</w:t>
      </w:r>
      <w:proofErr w:type="spellEnd"/>
      <w:r w:rsidRPr="003F7FFA">
        <w:rPr>
          <w:rFonts w:ascii="Times New Roman" w:hAnsi="Times New Roman" w:cs="Times New Roman"/>
          <w:sz w:val="28"/>
          <w:szCs w:val="28"/>
        </w:rPr>
        <w:t xml:space="preserve"> 3, обеспечивающим эффективные пространственные запросы. На серверной стороне развернуты модули обработки: импорт и предобработка данных, расчёт прогнозных карт (KDE, ETAS) и модуль оценки потерь. Клиентская часть построена на базе </w:t>
      </w:r>
      <w:proofErr w:type="spellStart"/>
      <w:r w:rsidRPr="003F7FFA">
        <w:rPr>
          <w:rFonts w:ascii="Times New Roman" w:hAnsi="Times New Roman" w:cs="Times New Roman"/>
          <w:sz w:val="28"/>
          <w:szCs w:val="28"/>
        </w:rPr>
        <w:t>WinForms</w:t>
      </w:r>
      <w:proofErr w:type="spellEnd"/>
      <w:r w:rsidRPr="003F7FFA">
        <w:rPr>
          <w:rFonts w:ascii="Times New Roman" w:hAnsi="Times New Roman" w:cs="Times New Roman"/>
          <w:sz w:val="28"/>
          <w:szCs w:val="28"/>
        </w:rPr>
        <w:t xml:space="preserve"> и использует библиотеку GMap.NET для интерактивной визуализации карты с эпицентрами и зонами повышенного риска. Такой набор технологий позволяет быстро обрабатывать большие исторические каталоги и отображать результаты прогноза в </w:t>
      </w:r>
      <w:proofErr w:type="spellStart"/>
      <w:r w:rsidRPr="003F7FFA">
        <w:rPr>
          <w:rFonts w:ascii="Times New Roman" w:hAnsi="Times New Roman" w:cs="Times New Roman"/>
          <w:i/>
          <w:iCs/>
          <w:sz w:val="28"/>
          <w:szCs w:val="28"/>
        </w:rPr>
        <w:t>near-real-time</w:t>
      </w:r>
      <w:proofErr w:type="spellEnd"/>
      <w:r w:rsidRPr="003F7FFA">
        <w:rPr>
          <w:rFonts w:ascii="Times New Roman" w:hAnsi="Times New Roman" w:cs="Times New Roman"/>
          <w:sz w:val="28"/>
          <w:szCs w:val="28"/>
        </w:rPr>
        <w:t xml:space="preserve"> режиме.</w:t>
      </w:r>
    </w:p>
    <w:p w14:paraId="21FBCEF0" w14:textId="77777777" w:rsidR="00060332" w:rsidRPr="003F7FFA" w:rsidRDefault="00060332" w:rsidP="00D21366">
      <w:pPr>
        <w:ind w:left="360"/>
        <w:rPr>
          <w:rFonts w:ascii="Times New Roman" w:hAnsi="Times New Roman" w:cs="Times New Roman"/>
          <w:sz w:val="28"/>
          <w:szCs w:val="28"/>
        </w:rPr>
      </w:pPr>
    </w:p>
    <w:p w14:paraId="7D8743AB" w14:textId="6375A801" w:rsidR="00060332" w:rsidRPr="003F7FFA" w:rsidRDefault="00060332" w:rsidP="00D21366">
      <w:pPr>
        <w:ind w:left="360"/>
        <w:rPr>
          <w:rFonts w:ascii="Times New Roman" w:hAnsi="Times New Roman" w:cs="Times New Roman"/>
          <w:sz w:val="28"/>
          <w:szCs w:val="28"/>
        </w:rPr>
      </w:pPr>
      <w:r w:rsidRPr="003F7FFA">
        <w:rPr>
          <w:rFonts w:ascii="Times New Roman" w:hAnsi="Times New Roman" w:cs="Times New Roman"/>
          <w:sz w:val="28"/>
          <w:szCs w:val="28"/>
        </w:rPr>
        <w:t>Слайд 6</w:t>
      </w:r>
    </w:p>
    <w:p w14:paraId="10602D37" w14:textId="77777777" w:rsidR="00E72A53" w:rsidRPr="00E72A53" w:rsidRDefault="00E72A53" w:rsidP="00E72A53">
      <w:pPr>
        <w:ind w:left="360"/>
        <w:rPr>
          <w:rFonts w:ascii="Times New Roman" w:hAnsi="Times New Roman" w:cs="Times New Roman"/>
          <w:sz w:val="28"/>
          <w:szCs w:val="28"/>
        </w:rPr>
      </w:pPr>
      <w:r w:rsidRPr="00E72A53">
        <w:rPr>
          <w:rFonts w:ascii="Times New Roman" w:hAnsi="Times New Roman" w:cs="Times New Roman"/>
          <w:sz w:val="28"/>
          <w:szCs w:val="28"/>
        </w:rPr>
        <w:t>Предложенная методика состоит из двух основных компонентов: долгосрочного прогноза (KDE) и краткосрочной корректировки (ETAS), дополненных экспертными правилами.</w:t>
      </w:r>
    </w:p>
    <w:p w14:paraId="54B3528C" w14:textId="11932A45" w:rsidR="00E72A53" w:rsidRDefault="00E72A53" w:rsidP="00E72A53">
      <w:pPr>
        <w:numPr>
          <w:ilvl w:val="0"/>
          <w:numId w:val="9"/>
        </w:numPr>
        <w:rPr>
          <w:rFonts w:ascii="Times New Roman" w:hAnsi="Times New Roman" w:cs="Times New Roman"/>
          <w:sz w:val="28"/>
          <w:szCs w:val="28"/>
        </w:rPr>
      </w:pPr>
      <w:r w:rsidRPr="00E72A53">
        <w:rPr>
          <w:rFonts w:ascii="Times New Roman" w:hAnsi="Times New Roman" w:cs="Times New Roman"/>
          <w:b/>
          <w:bCs/>
          <w:sz w:val="28"/>
          <w:szCs w:val="28"/>
        </w:rPr>
        <w:lastRenderedPageBreak/>
        <w:t>Долгосрочный прогноз (KDE).</w:t>
      </w:r>
      <w:r w:rsidRPr="00E72A53">
        <w:rPr>
          <w:rFonts w:ascii="Times New Roman" w:hAnsi="Times New Roman" w:cs="Times New Roman"/>
          <w:sz w:val="28"/>
          <w:szCs w:val="28"/>
        </w:rPr>
        <w:t xml:space="preserve"> Долгосрочная карта сейсмического риска создаётся методом ядровой оценки плотности (KDE) на основе всех исторических событий за счёт построения непрерывной «тепловой» поверхности вероятностей. Это позволяет выявлять географические зоны повышенного риска, основываясь на статистике прошлых эпицентров. Формально на плоскости строится равномерная сетка, и в каждой ячейке суммируются вклады от всех событий с помощью ядра Гаусса. Благодаря этому карта отражает скопление прошлых землетрясений и задаёт базовую вероятность возникновения новых толчков.</w:t>
      </w:r>
    </w:p>
    <w:p w14:paraId="58FFC0AB" w14:textId="77777777" w:rsidR="003F5B6D" w:rsidRDefault="003F5B6D" w:rsidP="003F5B6D">
      <w:pPr>
        <w:ind w:left="360"/>
        <w:rPr>
          <w:rFonts w:ascii="Times New Roman" w:hAnsi="Times New Roman" w:cs="Times New Roman"/>
          <w:b/>
          <w:bCs/>
          <w:sz w:val="28"/>
          <w:szCs w:val="28"/>
        </w:rPr>
      </w:pPr>
    </w:p>
    <w:p w14:paraId="1A3B6BC9" w14:textId="75884839" w:rsidR="003F5B6D" w:rsidRPr="003F7FFA" w:rsidRDefault="003F5B6D" w:rsidP="003F5B6D">
      <w:pPr>
        <w:ind w:left="360"/>
        <w:rPr>
          <w:rFonts w:ascii="Times New Roman" w:hAnsi="Times New Roman" w:cs="Times New Roman"/>
          <w:sz w:val="28"/>
          <w:szCs w:val="28"/>
        </w:rPr>
      </w:pPr>
      <w:r w:rsidRPr="003F7FFA">
        <w:rPr>
          <w:rFonts w:ascii="Times New Roman" w:hAnsi="Times New Roman" w:cs="Times New Roman"/>
          <w:sz w:val="28"/>
          <w:szCs w:val="28"/>
        </w:rPr>
        <w:t xml:space="preserve">Слайд </w:t>
      </w:r>
      <w:r>
        <w:rPr>
          <w:rFonts w:ascii="Times New Roman" w:hAnsi="Times New Roman" w:cs="Times New Roman"/>
          <w:sz w:val="28"/>
          <w:szCs w:val="28"/>
        </w:rPr>
        <w:t>7</w:t>
      </w:r>
    </w:p>
    <w:p w14:paraId="7E72AE34" w14:textId="2EC96211" w:rsidR="00E72A53" w:rsidRDefault="00E72A53" w:rsidP="00E72A53">
      <w:pPr>
        <w:numPr>
          <w:ilvl w:val="0"/>
          <w:numId w:val="9"/>
        </w:numPr>
        <w:rPr>
          <w:rFonts w:ascii="Times New Roman" w:hAnsi="Times New Roman" w:cs="Times New Roman"/>
          <w:sz w:val="28"/>
          <w:szCs w:val="28"/>
        </w:rPr>
      </w:pPr>
      <w:r w:rsidRPr="00E72A53">
        <w:rPr>
          <w:rFonts w:ascii="Times New Roman" w:hAnsi="Times New Roman" w:cs="Times New Roman"/>
          <w:b/>
          <w:bCs/>
          <w:sz w:val="28"/>
          <w:szCs w:val="28"/>
        </w:rPr>
        <w:t>Краткосрочная корректировка (ETAS).</w:t>
      </w:r>
      <w:r w:rsidRPr="00E72A53">
        <w:rPr>
          <w:rFonts w:ascii="Times New Roman" w:hAnsi="Times New Roman" w:cs="Times New Roman"/>
          <w:sz w:val="28"/>
          <w:szCs w:val="28"/>
        </w:rPr>
        <w:t xml:space="preserve"> Для учёта текущей сейсмической обстановки применяется модель ETAS (</w:t>
      </w:r>
      <w:proofErr w:type="spellStart"/>
      <w:r w:rsidRPr="00E72A53">
        <w:rPr>
          <w:rFonts w:ascii="Times New Roman" w:hAnsi="Times New Roman" w:cs="Times New Roman"/>
          <w:sz w:val="28"/>
          <w:szCs w:val="28"/>
        </w:rPr>
        <w:t>Epidemic</w:t>
      </w:r>
      <w:proofErr w:type="spellEnd"/>
      <w:r w:rsidRPr="00E72A53">
        <w:rPr>
          <w:rFonts w:ascii="Times New Roman" w:hAnsi="Times New Roman" w:cs="Times New Roman"/>
          <w:sz w:val="28"/>
          <w:szCs w:val="28"/>
        </w:rPr>
        <w:t xml:space="preserve">-Type </w:t>
      </w:r>
      <w:proofErr w:type="spellStart"/>
      <w:r w:rsidRPr="00E72A53">
        <w:rPr>
          <w:rFonts w:ascii="Times New Roman" w:hAnsi="Times New Roman" w:cs="Times New Roman"/>
          <w:sz w:val="28"/>
          <w:szCs w:val="28"/>
        </w:rPr>
        <w:t>Aftershock</w:t>
      </w:r>
      <w:proofErr w:type="spellEnd"/>
      <w:r w:rsidRPr="00E72A53">
        <w:rPr>
          <w:rFonts w:ascii="Times New Roman" w:hAnsi="Times New Roman" w:cs="Times New Roman"/>
          <w:sz w:val="28"/>
          <w:szCs w:val="28"/>
        </w:rPr>
        <w:t xml:space="preserve"> </w:t>
      </w:r>
      <w:proofErr w:type="spellStart"/>
      <w:r w:rsidRPr="00E72A53">
        <w:rPr>
          <w:rFonts w:ascii="Times New Roman" w:hAnsi="Times New Roman" w:cs="Times New Roman"/>
          <w:sz w:val="28"/>
          <w:szCs w:val="28"/>
        </w:rPr>
        <w:t>Sequence</w:t>
      </w:r>
      <w:proofErr w:type="spellEnd"/>
      <w:r w:rsidRPr="00E72A53">
        <w:rPr>
          <w:rFonts w:ascii="Times New Roman" w:hAnsi="Times New Roman" w:cs="Times New Roman"/>
          <w:sz w:val="28"/>
          <w:szCs w:val="28"/>
        </w:rPr>
        <w:t xml:space="preserve">), представляющая собой стохастический процесс самовозбуждения. В этой модели каждое случившееся землетрясение «порождает» серию афтершоков, интенсивность которых убывает по закону </w:t>
      </w:r>
      <w:proofErr w:type="spellStart"/>
      <w:r w:rsidRPr="00E72A53">
        <w:rPr>
          <w:rFonts w:ascii="Times New Roman" w:hAnsi="Times New Roman" w:cs="Times New Roman"/>
          <w:sz w:val="28"/>
          <w:szCs w:val="28"/>
        </w:rPr>
        <w:t>Омори</w:t>
      </w:r>
      <w:proofErr w:type="spellEnd"/>
      <w:r w:rsidRPr="00E72A53">
        <w:rPr>
          <w:rFonts w:ascii="Times New Roman" w:hAnsi="Times New Roman" w:cs="Times New Roman"/>
          <w:sz w:val="28"/>
          <w:szCs w:val="28"/>
        </w:rPr>
        <w:t xml:space="preserve"> с течением времени и удалением от эпицентра. В отличие от статичной KDE-карты, ETAS учитывает недавние события как источники дополнительной вероятности, а долгая «тишина» в регионе уменьшает прогнозный вес соответствующих ячеек. При реализации объединяется базовая KDE-карта и краткосрочная ETAS-карта (суммирование вероятностей с последующей нормировкой), что обеспечивает баланс между устойчивостью на исторических данных и чувствительностью к текущему процессу.</w:t>
      </w:r>
    </w:p>
    <w:p w14:paraId="36C7CACA" w14:textId="77777777" w:rsidR="003F5B6D" w:rsidRDefault="003F5B6D" w:rsidP="003F5B6D">
      <w:pPr>
        <w:ind w:left="360"/>
        <w:rPr>
          <w:rFonts w:ascii="Times New Roman" w:hAnsi="Times New Roman" w:cs="Times New Roman"/>
          <w:b/>
          <w:bCs/>
          <w:sz w:val="28"/>
          <w:szCs w:val="28"/>
        </w:rPr>
      </w:pPr>
    </w:p>
    <w:p w14:paraId="5291BA49" w14:textId="32F58257" w:rsidR="003F5B6D" w:rsidRPr="00E72A53" w:rsidRDefault="003F5B6D" w:rsidP="003F5B6D">
      <w:pPr>
        <w:ind w:left="360"/>
        <w:rPr>
          <w:rFonts w:ascii="Times New Roman" w:hAnsi="Times New Roman" w:cs="Times New Roman"/>
          <w:sz w:val="28"/>
          <w:szCs w:val="28"/>
        </w:rPr>
      </w:pPr>
      <w:r w:rsidRPr="003F5B6D">
        <w:rPr>
          <w:rFonts w:ascii="Times New Roman" w:hAnsi="Times New Roman" w:cs="Times New Roman"/>
          <w:sz w:val="28"/>
          <w:szCs w:val="28"/>
        </w:rPr>
        <w:t>Слайд 8</w:t>
      </w:r>
    </w:p>
    <w:p w14:paraId="10920FEF" w14:textId="448F5969" w:rsidR="00E72A53" w:rsidRPr="003F7FFA" w:rsidRDefault="00E72A53" w:rsidP="00E72A53">
      <w:pPr>
        <w:numPr>
          <w:ilvl w:val="0"/>
          <w:numId w:val="9"/>
        </w:numPr>
        <w:rPr>
          <w:rFonts w:ascii="Times New Roman" w:hAnsi="Times New Roman" w:cs="Times New Roman"/>
          <w:sz w:val="28"/>
          <w:szCs w:val="28"/>
        </w:rPr>
      </w:pPr>
      <w:r w:rsidRPr="00E72A53">
        <w:rPr>
          <w:rFonts w:ascii="Times New Roman" w:hAnsi="Times New Roman" w:cs="Times New Roman"/>
          <w:b/>
          <w:bCs/>
          <w:sz w:val="28"/>
          <w:szCs w:val="28"/>
        </w:rPr>
        <w:t>Экспертная система.</w:t>
      </w:r>
      <w:r w:rsidRPr="00E72A53">
        <w:rPr>
          <w:rFonts w:ascii="Times New Roman" w:hAnsi="Times New Roman" w:cs="Times New Roman"/>
          <w:sz w:val="28"/>
          <w:szCs w:val="28"/>
        </w:rPr>
        <w:t xml:space="preserve"> Для формирования рекомендаций и фильтрации аномалий применяется правило-ориентированный компонент на базе фреймворка </w:t>
      </w:r>
      <w:proofErr w:type="spellStart"/>
      <w:r w:rsidRPr="00E72A53">
        <w:rPr>
          <w:rFonts w:ascii="Times New Roman" w:hAnsi="Times New Roman" w:cs="Times New Roman"/>
          <w:b/>
          <w:bCs/>
          <w:sz w:val="28"/>
          <w:szCs w:val="28"/>
        </w:rPr>
        <w:t>Experta</w:t>
      </w:r>
      <w:proofErr w:type="spellEnd"/>
      <w:r w:rsidRPr="00E72A53">
        <w:rPr>
          <w:rFonts w:ascii="Times New Roman" w:hAnsi="Times New Roman" w:cs="Times New Roman"/>
          <w:sz w:val="28"/>
          <w:szCs w:val="28"/>
        </w:rPr>
        <w:t xml:space="preserve"> (Python), описывающий экспертные знания специалистов по сейсмике. Экспертные правила оперируют признаками сейсмической активности (например, количество крупных афтершоков в регионе, превышение порогов ускорения и т.д.) и на их основе выдают качественные заключения и предписания.</w:t>
      </w:r>
      <w:r w:rsidR="00B40098" w:rsidRPr="003F7FFA">
        <w:rPr>
          <w:rFonts w:ascii="Times New Roman" w:hAnsi="Times New Roman" w:cs="Times New Roman"/>
          <w:sz w:val="28"/>
          <w:szCs w:val="28"/>
        </w:rPr>
        <w:t xml:space="preserve"> </w:t>
      </w:r>
      <w:r w:rsidR="00E20BDF" w:rsidRPr="003F7FFA">
        <w:rPr>
          <w:rFonts w:ascii="Times New Roman" w:hAnsi="Times New Roman" w:cs="Times New Roman"/>
          <w:sz w:val="28"/>
          <w:szCs w:val="28"/>
        </w:rPr>
        <w:t>Э</w:t>
      </w:r>
      <w:r w:rsidRPr="00E72A53">
        <w:rPr>
          <w:rFonts w:ascii="Times New Roman" w:hAnsi="Times New Roman" w:cs="Times New Roman"/>
          <w:sz w:val="28"/>
          <w:szCs w:val="28"/>
        </w:rPr>
        <w:t xml:space="preserve">кспертная система «фильтрует аномалии и формирует </w:t>
      </w:r>
      <w:proofErr w:type="spellStart"/>
      <w:r w:rsidRPr="00E72A53">
        <w:rPr>
          <w:rFonts w:ascii="Times New Roman" w:hAnsi="Times New Roman" w:cs="Times New Roman"/>
          <w:sz w:val="28"/>
          <w:szCs w:val="28"/>
        </w:rPr>
        <w:t>рекомендации»</w:t>
      </w:r>
      <w:proofErr w:type="spellEnd"/>
      <w:r w:rsidRPr="00E72A53">
        <w:rPr>
          <w:rFonts w:ascii="Times New Roman" w:hAnsi="Times New Roman" w:cs="Times New Roman"/>
          <w:sz w:val="28"/>
          <w:szCs w:val="28"/>
        </w:rPr>
        <w:t>, что повышает обоснованность принимаемых решений при прогнозировании и реагировании.</w:t>
      </w:r>
    </w:p>
    <w:p w14:paraId="3C939FE3" w14:textId="77777777" w:rsidR="00B40098" w:rsidRPr="003F7FFA" w:rsidRDefault="00B40098" w:rsidP="00B40098">
      <w:pPr>
        <w:ind w:left="360"/>
        <w:rPr>
          <w:rFonts w:ascii="Times New Roman" w:hAnsi="Times New Roman" w:cs="Times New Roman"/>
          <w:b/>
          <w:bCs/>
          <w:sz w:val="28"/>
          <w:szCs w:val="28"/>
        </w:rPr>
      </w:pPr>
    </w:p>
    <w:p w14:paraId="72047013" w14:textId="5C62E59E" w:rsidR="00B40098" w:rsidRPr="003F7FFA" w:rsidRDefault="00B40098" w:rsidP="00B40098">
      <w:pPr>
        <w:ind w:left="360"/>
        <w:rPr>
          <w:rFonts w:ascii="Times New Roman" w:hAnsi="Times New Roman" w:cs="Times New Roman"/>
          <w:sz w:val="28"/>
          <w:szCs w:val="28"/>
        </w:rPr>
      </w:pPr>
      <w:r w:rsidRPr="003F7FFA">
        <w:rPr>
          <w:rFonts w:ascii="Times New Roman" w:hAnsi="Times New Roman" w:cs="Times New Roman"/>
          <w:sz w:val="28"/>
          <w:szCs w:val="28"/>
        </w:rPr>
        <w:lastRenderedPageBreak/>
        <w:t xml:space="preserve">Слайд </w:t>
      </w:r>
      <w:r w:rsidR="002C5EF7">
        <w:rPr>
          <w:rFonts w:ascii="Times New Roman" w:hAnsi="Times New Roman" w:cs="Times New Roman"/>
          <w:sz w:val="28"/>
          <w:szCs w:val="28"/>
        </w:rPr>
        <w:t>9</w:t>
      </w:r>
    </w:p>
    <w:p w14:paraId="0FC908D7" w14:textId="77777777" w:rsidR="003D591D" w:rsidRPr="003F7FFA" w:rsidRDefault="00063697" w:rsidP="00B40098">
      <w:pPr>
        <w:ind w:left="360"/>
        <w:rPr>
          <w:rFonts w:ascii="Times New Roman" w:hAnsi="Times New Roman" w:cs="Times New Roman"/>
          <w:sz w:val="28"/>
          <w:szCs w:val="28"/>
        </w:rPr>
      </w:pPr>
      <w:r w:rsidRPr="003F7FFA">
        <w:rPr>
          <w:rFonts w:ascii="Times New Roman" w:hAnsi="Times New Roman" w:cs="Times New Roman"/>
          <w:sz w:val="28"/>
          <w:szCs w:val="28"/>
        </w:rPr>
        <w:t>Качество разработанной прогностической системы оценивалось с помощью ретроспективного анализа по методологии CSEP (</w:t>
      </w:r>
      <w:proofErr w:type="spellStart"/>
      <w:r w:rsidRPr="003F7FFA">
        <w:rPr>
          <w:rFonts w:ascii="Times New Roman" w:hAnsi="Times New Roman" w:cs="Times New Roman"/>
          <w:sz w:val="28"/>
          <w:szCs w:val="28"/>
        </w:rPr>
        <w:t>Collaboratory</w:t>
      </w:r>
      <w:proofErr w:type="spellEnd"/>
      <w:r w:rsidRPr="003F7FFA">
        <w:rPr>
          <w:rFonts w:ascii="Times New Roman" w:hAnsi="Times New Roman" w:cs="Times New Roman"/>
          <w:sz w:val="28"/>
          <w:szCs w:val="28"/>
        </w:rPr>
        <w:t xml:space="preserve"> </w:t>
      </w:r>
      <w:proofErr w:type="spellStart"/>
      <w:r w:rsidRPr="003F7FFA">
        <w:rPr>
          <w:rFonts w:ascii="Times New Roman" w:hAnsi="Times New Roman" w:cs="Times New Roman"/>
          <w:sz w:val="28"/>
          <w:szCs w:val="28"/>
        </w:rPr>
        <w:t>for</w:t>
      </w:r>
      <w:proofErr w:type="spellEnd"/>
      <w:r w:rsidRPr="003F7FFA">
        <w:rPr>
          <w:rFonts w:ascii="Times New Roman" w:hAnsi="Times New Roman" w:cs="Times New Roman"/>
          <w:sz w:val="28"/>
          <w:szCs w:val="28"/>
        </w:rPr>
        <w:t xml:space="preserve"> </w:t>
      </w:r>
      <w:proofErr w:type="spellStart"/>
      <w:r w:rsidRPr="003F7FFA">
        <w:rPr>
          <w:rFonts w:ascii="Times New Roman" w:hAnsi="Times New Roman" w:cs="Times New Roman"/>
          <w:sz w:val="28"/>
          <w:szCs w:val="28"/>
        </w:rPr>
        <w:t>the</w:t>
      </w:r>
      <w:proofErr w:type="spellEnd"/>
      <w:r w:rsidRPr="003F7FFA">
        <w:rPr>
          <w:rFonts w:ascii="Times New Roman" w:hAnsi="Times New Roman" w:cs="Times New Roman"/>
          <w:sz w:val="28"/>
          <w:szCs w:val="28"/>
        </w:rPr>
        <w:t xml:space="preserve"> Study </w:t>
      </w:r>
      <w:proofErr w:type="spellStart"/>
      <w:r w:rsidRPr="003F7FFA">
        <w:rPr>
          <w:rFonts w:ascii="Times New Roman" w:hAnsi="Times New Roman" w:cs="Times New Roman"/>
          <w:sz w:val="28"/>
          <w:szCs w:val="28"/>
        </w:rPr>
        <w:t>of</w:t>
      </w:r>
      <w:proofErr w:type="spellEnd"/>
      <w:r w:rsidRPr="003F7FFA">
        <w:rPr>
          <w:rFonts w:ascii="Times New Roman" w:hAnsi="Times New Roman" w:cs="Times New Roman"/>
          <w:sz w:val="28"/>
          <w:szCs w:val="28"/>
        </w:rPr>
        <w:t xml:space="preserve"> </w:t>
      </w:r>
      <w:proofErr w:type="spellStart"/>
      <w:r w:rsidRPr="003F7FFA">
        <w:rPr>
          <w:rFonts w:ascii="Times New Roman" w:hAnsi="Times New Roman" w:cs="Times New Roman"/>
          <w:sz w:val="28"/>
          <w:szCs w:val="28"/>
        </w:rPr>
        <w:t>Earthquake</w:t>
      </w:r>
      <w:proofErr w:type="spellEnd"/>
      <w:r w:rsidRPr="003F7FFA">
        <w:rPr>
          <w:rFonts w:ascii="Times New Roman" w:hAnsi="Times New Roman" w:cs="Times New Roman"/>
          <w:sz w:val="28"/>
          <w:szCs w:val="28"/>
        </w:rPr>
        <w:t xml:space="preserve"> </w:t>
      </w:r>
      <w:proofErr w:type="spellStart"/>
      <w:r w:rsidRPr="003F7FFA">
        <w:rPr>
          <w:rFonts w:ascii="Times New Roman" w:hAnsi="Times New Roman" w:cs="Times New Roman"/>
          <w:sz w:val="28"/>
          <w:szCs w:val="28"/>
        </w:rPr>
        <w:t>Predictability</w:t>
      </w:r>
      <w:proofErr w:type="spellEnd"/>
      <w:r w:rsidRPr="003F7FFA">
        <w:rPr>
          <w:rFonts w:ascii="Times New Roman" w:hAnsi="Times New Roman" w:cs="Times New Roman"/>
          <w:sz w:val="28"/>
          <w:szCs w:val="28"/>
        </w:rPr>
        <w:t>). Для этого были использованы объединённые каталоги землетрясений (ЕГС РАН, EMSC, GEOFON) за период 1960–2024 гг., разбитые на тренировочную и тестовую выборки строго по протоколам CSEP. Метриками валидации служили: доля обнаруженных событий (POD), доля ложных тревог (FAR), выигрыш правдоподобия (LL-</w:t>
      </w:r>
      <w:proofErr w:type="spellStart"/>
      <w:r w:rsidRPr="003F7FFA">
        <w:rPr>
          <w:rFonts w:ascii="Times New Roman" w:hAnsi="Times New Roman" w:cs="Times New Roman"/>
          <w:sz w:val="28"/>
          <w:szCs w:val="28"/>
        </w:rPr>
        <w:t>gain</w:t>
      </w:r>
      <w:proofErr w:type="spellEnd"/>
      <w:r w:rsidRPr="003F7FFA">
        <w:rPr>
          <w:rFonts w:ascii="Times New Roman" w:hAnsi="Times New Roman" w:cs="Times New Roman"/>
          <w:sz w:val="28"/>
          <w:szCs w:val="28"/>
        </w:rPr>
        <w:t xml:space="preserve">) и оценка </w:t>
      </w:r>
      <w:proofErr w:type="spellStart"/>
      <w:r w:rsidRPr="003F7FFA">
        <w:rPr>
          <w:rFonts w:ascii="Times New Roman" w:hAnsi="Times New Roman" w:cs="Times New Roman"/>
          <w:sz w:val="28"/>
          <w:szCs w:val="28"/>
        </w:rPr>
        <w:t>Брайера</w:t>
      </w:r>
      <w:proofErr w:type="spellEnd"/>
      <w:r w:rsidRPr="003F7FFA">
        <w:rPr>
          <w:rFonts w:ascii="Times New Roman" w:hAnsi="Times New Roman" w:cs="Times New Roman"/>
          <w:sz w:val="28"/>
          <w:szCs w:val="28"/>
        </w:rPr>
        <w:t xml:space="preserve"> (</w:t>
      </w:r>
      <w:proofErr w:type="spellStart"/>
      <w:r w:rsidRPr="003F7FFA">
        <w:rPr>
          <w:rFonts w:ascii="Times New Roman" w:hAnsi="Times New Roman" w:cs="Times New Roman"/>
          <w:sz w:val="28"/>
          <w:szCs w:val="28"/>
        </w:rPr>
        <w:t>Brier</w:t>
      </w:r>
      <w:proofErr w:type="spellEnd"/>
      <w:r w:rsidRPr="003F7FFA">
        <w:rPr>
          <w:rFonts w:ascii="Times New Roman" w:hAnsi="Times New Roman" w:cs="Times New Roman"/>
          <w:sz w:val="28"/>
          <w:szCs w:val="28"/>
        </w:rPr>
        <w:t xml:space="preserve"> </w:t>
      </w:r>
      <w:proofErr w:type="spellStart"/>
      <w:r w:rsidRPr="003F7FFA">
        <w:rPr>
          <w:rFonts w:ascii="Times New Roman" w:hAnsi="Times New Roman" w:cs="Times New Roman"/>
          <w:sz w:val="28"/>
          <w:szCs w:val="28"/>
        </w:rPr>
        <w:t>score</w:t>
      </w:r>
      <w:proofErr w:type="spellEnd"/>
      <w:r w:rsidRPr="003F7FFA">
        <w:rPr>
          <w:rFonts w:ascii="Times New Roman" w:hAnsi="Times New Roman" w:cs="Times New Roman"/>
          <w:sz w:val="28"/>
          <w:szCs w:val="28"/>
        </w:rPr>
        <w:t xml:space="preserve">). </w:t>
      </w:r>
    </w:p>
    <w:p w14:paraId="6C04B916" w14:textId="77777777" w:rsidR="003D591D" w:rsidRPr="003F7FFA" w:rsidRDefault="003D591D" w:rsidP="00B40098">
      <w:pPr>
        <w:ind w:left="360"/>
        <w:rPr>
          <w:rFonts w:ascii="Times New Roman" w:hAnsi="Times New Roman" w:cs="Times New Roman"/>
          <w:sz w:val="28"/>
          <w:szCs w:val="28"/>
        </w:rPr>
      </w:pPr>
    </w:p>
    <w:p w14:paraId="2E302DEC" w14:textId="3AF6EFC2" w:rsidR="00916BF6" w:rsidRDefault="00916BF6" w:rsidP="00B40098">
      <w:pPr>
        <w:ind w:left="360"/>
        <w:rPr>
          <w:rFonts w:ascii="Times New Roman" w:hAnsi="Times New Roman" w:cs="Times New Roman"/>
          <w:sz w:val="28"/>
          <w:szCs w:val="28"/>
        </w:rPr>
      </w:pPr>
      <w:r>
        <w:rPr>
          <w:rFonts w:ascii="Times New Roman" w:hAnsi="Times New Roman" w:cs="Times New Roman"/>
          <w:sz w:val="28"/>
          <w:szCs w:val="28"/>
        </w:rPr>
        <w:t>Слайд 12</w:t>
      </w:r>
    </w:p>
    <w:p w14:paraId="1564103F" w14:textId="77777777" w:rsidR="004D0E87" w:rsidRPr="004D0E87" w:rsidRDefault="004D0E87" w:rsidP="004D0E87">
      <w:pPr>
        <w:ind w:left="360"/>
        <w:rPr>
          <w:rFonts w:ascii="Times New Roman" w:hAnsi="Times New Roman" w:cs="Times New Roman"/>
          <w:sz w:val="28"/>
          <w:szCs w:val="28"/>
        </w:rPr>
      </w:pPr>
      <w:r w:rsidRPr="004D0E87">
        <w:rPr>
          <w:rFonts w:ascii="Times New Roman" w:hAnsi="Times New Roman" w:cs="Times New Roman"/>
          <w:sz w:val="28"/>
          <w:szCs w:val="28"/>
        </w:rPr>
        <w:t>Для строгой количественной проверки прогностической способности модели применён регламент CSEP (</w:t>
      </w:r>
      <w:proofErr w:type="spellStart"/>
      <w:r w:rsidRPr="004D0E87">
        <w:rPr>
          <w:rFonts w:ascii="Times New Roman" w:hAnsi="Times New Roman" w:cs="Times New Roman"/>
          <w:sz w:val="28"/>
          <w:szCs w:val="28"/>
        </w:rPr>
        <w:t>Collaboratory</w:t>
      </w:r>
      <w:proofErr w:type="spellEnd"/>
      <w:r w:rsidRPr="004D0E87">
        <w:rPr>
          <w:rFonts w:ascii="Times New Roman" w:hAnsi="Times New Roman" w:cs="Times New Roman"/>
          <w:sz w:val="28"/>
          <w:szCs w:val="28"/>
        </w:rPr>
        <w:t xml:space="preserve"> </w:t>
      </w:r>
      <w:proofErr w:type="spellStart"/>
      <w:r w:rsidRPr="004D0E87">
        <w:rPr>
          <w:rFonts w:ascii="Times New Roman" w:hAnsi="Times New Roman" w:cs="Times New Roman"/>
          <w:sz w:val="28"/>
          <w:szCs w:val="28"/>
        </w:rPr>
        <w:t>for</w:t>
      </w:r>
      <w:proofErr w:type="spellEnd"/>
      <w:r w:rsidRPr="004D0E87">
        <w:rPr>
          <w:rFonts w:ascii="Times New Roman" w:hAnsi="Times New Roman" w:cs="Times New Roman"/>
          <w:sz w:val="28"/>
          <w:szCs w:val="28"/>
        </w:rPr>
        <w:t xml:space="preserve"> </w:t>
      </w:r>
      <w:proofErr w:type="spellStart"/>
      <w:r w:rsidRPr="004D0E87">
        <w:rPr>
          <w:rFonts w:ascii="Times New Roman" w:hAnsi="Times New Roman" w:cs="Times New Roman"/>
          <w:sz w:val="28"/>
          <w:szCs w:val="28"/>
        </w:rPr>
        <w:t>the</w:t>
      </w:r>
      <w:proofErr w:type="spellEnd"/>
      <w:r w:rsidRPr="004D0E87">
        <w:rPr>
          <w:rFonts w:ascii="Times New Roman" w:hAnsi="Times New Roman" w:cs="Times New Roman"/>
          <w:sz w:val="28"/>
          <w:szCs w:val="28"/>
        </w:rPr>
        <w:t xml:space="preserve"> Study </w:t>
      </w:r>
      <w:proofErr w:type="spellStart"/>
      <w:r w:rsidRPr="004D0E87">
        <w:rPr>
          <w:rFonts w:ascii="Times New Roman" w:hAnsi="Times New Roman" w:cs="Times New Roman"/>
          <w:sz w:val="28"/>
          <w:szCs w:val="28"/>
        </w:rPr>
        <w:t>of</w:t>
      </w:r>
      <w:proofErr w:type="spellEnd"/>
      <w:r w:rsidRPr="004D0E87">
        <w:rPr>
          <w:rFonts w:ascii="Times New Roman" w:hAnsi="Times New Roman" w:cs="Times New Roman"/>
          <w:sz w:val="28"/>
          <w:szCs w:val="28"/>
        </w:rPr>
        <w:t xml:space="preserve"> </w:t>
      </w:r>
      <w:proofErr w:type="spellStart"/>
      <w:r w:rsidRPr="004D0E87">
        <w:rPr>
          <w:rFonts w:ascii="Times New Roman" w:hAnsi="Times New Roman" w:cs="Times New Roman"/>
          <w:sz w:val="28"/>
          <w:szCs w:val="28"/>
        </w:rPr>
        <w:t>Earthquake</w:t>
      </w:r>
      <w:proofErr w:type="spellEnd"/>
      <w:r w:rsidRPr="004D0E87">
        <w:rPr>
          <w:rFonts w:ascii="Times New Roman" w:hAnsi="Times New Roman" w:cs="Times New Roman"/>
          <w:sz w:val="28"/>
          <w:szCs w:val="28"/>
        </w:rPr>
        <w:t xml:space="preserve"> </w:t>
      </w:r>
      <w:proofErr w:type="spellStart"/>
      <w:r w:rsidRPr="004D0E87">
        <w:rPr>
          <w:rFonts w:ascii="Times New Roman" w:hAnsi="Times New Roman" w:cs="Times New Roman"/>
          <w:sz w:val="28"/>
          <w:szCs w:val="28"/>
        </w:rPr>
        <w:t>Predictability</w:t>
      </w:r>
      <w:proofErr w:type="spellEnd"/>
      <w:r w:rsidRPr="004D0E87">
        <w:rPr>
          <w:rFonts w:ascii="Times New Roman" w:hAnsi="Times New Roman" w:cs="Times New Roman"/>
          <w:sz w:val="28"/>
          <w:szCs w:val="28"/>
        </w:rPr>
        <w:t>). Данные каталога 1995 – 2019 гг. были разделены на обучающую и независимую тестовую выборки; затем рассчитаны четыре стандартизированные метрики.</w:t>
      </w:r>
    </w:p>
    <w:p w14:paraId="3AD00299" w14:textId="77777777" w:rsidR="004D0E87" w:rsidRPr="004D0E87" w:rsidRDefault="004D0E87" w:rsidP="004D0E87">
      <w:pPr>
        <w:ind w:left="360"/>
        <w:rPr>
          <w:rFonts w:ascii="Times New Roman" w:hAnsi="Times New Roman" w:cs="Times New Roman"/>
          <w:sz w:val="28"/>
          <w:szCs w:val="28"/>
        </w:rPr>
      </w:pPr>
      <w:r w:rsidRPr="004D0E87">
        <w:rPr>
          <w:rFonts w:ascii="Times New Roman" w:hAnsi="Times New Roman" w:cs="Times New Roman"/>
          <w:sz w:val="28"/>
          <w:szCs w:val="28"/>
        </w:rPr>
        <w:t xml:space="preserve">1. </w:t>
      </w:r>
      <w:proofErr w:type="spellStart"/>
      <w:r w:rsidRPr="004D0E87">
        <w:rPr>
          <w:rFonts w:ascii="Times New Roman" w:hAnsi="Times New Roman" w:cs="Times New Roman"/>
          <w:sz w:val="28"/>
          <w:szCs w:val="28"/>
        </w:rPr>
        <w:t>Probability</w:t>
      </w:r>
      <w:proofErr w:type="spellEnd"/>
      <w:r w:rsidRPr="004D0E87">
        <w:rPr>
          <w:rFonts w:ascii="Times New Roman" w:hAnsi="Times New Roman" w:cs="Times New Roman"/>
          <w:sz w:val="28"/>
          <w:szCs w:val="28"/>
        </w:rPr>
        <w:t xml:space="preserve"> </w:t>
      </w:r>
      <w:proofErr w:type="spellStart"/>
      <w:r w:rsidRPr="004D0E87">
        <w:rPr>
          <w:rFonts w:ascii="Times New Roman" w:hAnsi="Times New Roman" w:cs="Times New Roman"/>
          <w:sz w:val="28"/>
          <w:szCs w:val="28"/>
        </w:rPr>
        <w:t>of</w:t>
      </w:r>
      <w:proofErr w:type="spellEnd"/>
      <w:r w:rsidRPr="004D0E87">
        <w:rPr>
          <w:rFonts w:ascii="Times New Roman" w:hAnsi="Times New Roman" w:cs="Times New Roman"/>
          <w:sz w:val="28"/>
          <w:szCs w:val="28"/>
        </w:rPr>
        <w:t xml:space="preserve"> </w:t>
      </w:r>
      <w:proofErr w:type="spellStart"/>
      <w:r w:rsidRPr="004D0E87">
        <w:rPr>
          <w:rFonts w:ascii="Times New Roman" w:hAnsi="Times New Roman" w:cs="Times New Roman"/>
          <w:sz w:val="28"/>
          <w:szCs w:val="28"/>
        </w:rPr>
        <w:t>Detection</w:t>
      </w:r>
      <w:proofErr w:type="spellEnd"/>
      <w:r w:rsidRPr="004D0E87">
        <w:rPr>
          <w:rFonts w:ascii="Times New Roman" w:hAnsi="Times New Roman" w:cs="Times New Roman"/>
          <w:sz w:val="28"/>
          <w:szCs w:val="28"/>
        </w:rPr>
        <w:t xml:space="preserve"> (POD = 0,74). Показатель отражает долю фактически случившихся событий, попавших в область прогноза. Значение 0,74 демонстрирует высокую чувствительность алгоритма при долгосрочном горизонте.</w:t>
      </w:r>
    </w:p>
    <w:p w14:paraId="59008CE2" w14:textId="77777777" w:rsidR="004D0E87" w:rsidRPr="004D0E87" w:rsidRDefault="004D0E87" w:rsidP="004D0E87">
      <w:pPr>
        <w:ind w:left="360"/>
        <w:rPr>
          <w:rFonts w:ascii="Times New Roman" w:hAnsi="Times New Roman" w:cs="Times New Roman"/>
          <w:sz w:val="28"/>
          <w:szCs w:val="28"/>
        </w:rPr>
      </w:pPr>
      <w:r w:rsidRPr="004D0E87">
        <w:rPr>
          <w:rFonts w:ascii="Times New Roman" w:hAnsi="Times New Roman" w:cs="Times New Roman"/>
          <w:sz w:val="28"/>
          <w:szCs w:val="28"/>
        </w:rPr>
        <w:t xml:space="preserve">2. </w:t>
      </w:r>
      <w:proofErr w:type="spellStart"/>
      <w:r w:rsidRPr="004D0E87">
        <w:rPr>
          <w:rFonts w:ascii="Times New Roman" w:hAnsi="Times New Roman" w:cs="Times New Roman"/>
          <w:sz w:val="28"/>
          <w:szCs w:val="28"/>
        </w:rPr>
        <w:t>False</w:t>
      </w:r>
      <w:proofErr w:type="spellEnd"/>
      <w:r w:rsidRPr="004D0E87">
        <w:rPr>
          <w:rFonts w:ascii="Times New Roman" w:hAnsi="Times New Roman" w:cs="Times New Roman"/>
          <w:sz w:val="28"/>
          <w:szCs w:val="28"/>
        </w:rPr>
        <w:t xml:space="preserve"> </w:t>
      </w:r>
      <w:proofErr w:type="spellStart"/>
      <w:r w:rsidRPr="004D0E87">
        <w:rPr>
          <w:rFonts w:ascii="Times New Roman" w:hAnsi="Times New Roman" w:cs="Times New Roman"/>
          <w:sz w:val="28"/>
          <w:szCs w:val="28"/>
        </w:rPr>
        <w:t>Alarm</w:t>
      </w:r>
      <w:proofErr w:type="spellEnd"/>
      <w:r w:rsidRPr="004D0E87">
        <w:rPr>
          <w:rFonts w:ascii="Times New Roman" w:hAnsi="Times New Roman" w:cs="Times New Roman"/>
          <w:sz w:val="28"/>
          <w:szCs w:val="28"/>
        </w:rPr>
        <w:t xml:space="preserve"> </w:t>
      </w:r>
      <w:proofErr w:type="spellStart"/>
      <w:r w:rsidRPr="004D0E87">
        <w:rPr>
          <w:rFonts w:ascii="Times New Roman" w:hAnsi="Times New Roman" w:cs="Times New Roman"/>
          <w:sz w:val="28"/>
          <w:szCs w:val="28"/>
        </w:rPr>
        <w:t>Ratio</w:t>
      </w:r>
      <w:proofErr w:type="spellEnd"/>
      <w:r w:rsidRPr="004D0E87">
        <w:rPr>
          <w:rFonts w:ascii="Times New Roman" w:hAnsi="Times New Roman" w:cs="Times New Roman"/>
          <w:sz w:val="28"/>
          <w:szCs w:val="28"/>
        </w:rPr>
        <w:t xml:space="preserve"> (FAR = 0,26). Отношение числа ложных предупреждений к общему количеству предсказаний. Полученное значение свидетельствует о приемлемом уровне избыточных тревог, сопоставимом с практическими порогами международных систем.</w:t>
      </w:r>
    </w:p>
    <w:p w14:paraId="0529AA20" w14:textId="77777777" w:rsidR="004D0E87" w:rsidRPr="004D0E87" w:rsidRDefault="004D0E87" w:rsidP="004D0E87">
      <w:pPr>
        <w:ind w:left="360"/>
        <w:rPr>
          <w:rFonts w:ascii="Times New Roman" w:hAnsi="Times New Roman" w:cs="Times New Roman"/>
          <w:sz w:val="28"/>
          <w:szCs w:val="28"/>
        </w:rPr>
      </w:pPr>
      <w:r w:rsidRPr="004D0E87">
        <w:rPr>
          <w:rFonts w:ascii="Times New Roman" w:hAnsi="Times New Roman" w:cs="Times New Roman"/>
          <w:sz w:val="28"/>
          <w:szCs w:val="28"/>
          <w:lang w:val="en-US"/>
        </w:rPr>
        <w:t xml:space="preserve">3. Log-Likelihood Gain (LL-gain = +1,9 </w:t>
      </w:r>
      <w:r w:rsidRPr="004D0E87">
        <w:rPr>
          <w:rFonts w:ascii="Times New Roman" w:hAnsi="Times New Roman" w:cs="Times New Roman"/>
          <w:sz w:val="28"/>
          <w:szCs w:val="28"/>
        </w:rPr>
        <w:t>бит</w:t>
      </w:r>
      <w:r w:rsidRPr="004D0E87">
        <w:rPr>
          <w:rFonts w:ascii="Times New Roman" w:hAnsi="Times New Roman" w:cs="Times New Roman"/>
          <w:sz w:val="28"/>
          <w:szCs w:val="28"/>
          <w:lang w:val="en-US"/>
        </w:rPr>
        <w:t xml:space="preserve">). </w:t>
      </w:r>
      <w:r w:rsidRPr="004D0E87">
        <w:rPr>
          <w:rFonts w:ascii="Times New Roman" w:hAnsi="Times New Roman" w:cs="Times New Roman"/>
          <w:sz w:val="28"/>
          <w:szCs w:val="28"/>
        </w:rPr>
        <w:t>Выигрыш логарифмического правдоподобия по сравнению с однородной пуассоновской моделью (H₀). Положительное значение в 1,9 бит подтверждает статистическую значимость прогноза (p &lt; 0,01) и наличие информативного содержимого.</w:t>
      </w:r>
    </w:p>
    <w:p w14:paraId="2A702FF2" w14:textId="77777777" w:rsidR="004D0E87" w:rsidRPr="004D0E87" w:rsidRDefault="004D0E87" w:rsidP="004D0E87">
      <w:pPr>
        <w:ind w:left="360"/>
        <w:rPr>
          <w:rFonts w:ascii="Times New Roman" w:hAnsi="Times New Roman" w:cs="Times New Roman"/>
          <w:sz w:val="28"/>
          <w:szCs w:val="28"/>
        </w:rPr>
      </w:pPr>
      <w:r w:rsidRPr="004D0E87">
        <w:rPr>
          <w:rFonts w:ascii="Times New Roman" w:hAnsi="Times New Roman" w:cs="Times New Roman"/>
          <w:sz w:val="28"/>
          <w:szCs w:val="28"/>
        </w:rPr>
        <w:t xml:space="preserve">4. </w:t>
      </w:r>
      <w:proofErr w:type="spellStart"/>
      <w:r w:rsidRPr="004D0E87">
        <w:rPr>
          <w:rFonts w:ascii="Times New Roman" w:hAnsi="Times New Roman" w:cs="Times New Roman"/>
          <w:sz w:val="28"/>
          <w:szCs w:val="28"/>
        </w:rPr>
        <w:t>Brier</w:t>
      </w:r>
      <w:proofErr w:type="spellEnd"/>
      <w:r w:rsidRPr="004D0E87">
        <w:rPr>
          <w:rFonts w:ascii="Times New Roman" w:hAnsi="Times New Roman" w:cs="Times New Roman"/>
          <w:sz w:val="28"/>
          <w:szCs w:val="28"/>
        </w:rPr>
        <w:t xml:space="preserve"> </w:t>
      </w:r>
      <w:proofErr w:type="spellStart"/>
      <w:r w:rsidRPr="004D0E87">
        <w:rPr>
          <w:rFonts w:ascii="Times New Roman" w:hAnsi="Times New Roman" w:cs="Times New Roman"/>
          <w:sz w:val="28"/>
          <w:szCs w:val="28"/>
        </w:rPr>
        <w:t>Score</w:t>
      </w:r>
      <w:proofErr w:type="spellEnd"/>
      <w:r w:rsidRPr="004D0E87">
        <w:rPr>
          <w:rFonts w:ascii="Times New Roman" w:hAnsi="Times New Roman" w:cs="Times New Roman"/>
          <w:sz w:val="28"/>
          <w:szCs w:val="28"/>
        </w:rPr>
        <w:t xml:space="preserve"> (BS = 0,12). Среднеквадратичное отклонение прогнозных вероятностей от бинарного исхода. Чем ниже показатель, тем лучше калибровка; достигнутый уровень 0,12 соответствует хорошо согласованной вероятностной оценке.</w:t>
      </w:r>
    </w:p>
    <w:p w14:paraId="2CEC11BC" w14:textId="77777777" w:rsidR="004D0E87" w:rsidRPr="004D0E87" w:rsidRDefault="004D0E87" w:rsidP="004D0E87">
      <w:pPr>
        <w:ind w:left="360"/>
        <w:rPr>
          <w:rFonts w:ascii="Times New Roman" w:hAnsi="Times New Roman" w:cs="Times New Roman"/>
          <w:sz w:val="28"/>
          <w:szCs w:val="28"/>
        </w:rPr>
      </w:pPr>
      <w:r w:rsidRPr="004D0E87">
        <w:rPr>
          <w:rFonts w:ascii="Times New Roman" w:hAnsi="Times New Roman" w:cs="Times New Roman"/>
          <w:sz w:val="28"/>
          <w:szCs w:val="28"/>
        </w:rPr>
        <w:t>Вывод. Совокупный анализ метрик демонстрирует, что предложенная двухуровневая схема KDE + ETAS обеспечивает статистически значимое улучшение выявляемости сильных событий при контролируемой доле ложных тревог и корректной калибровке вероятностей, что делает её пригодной для оперативного применения в модуле СППР RECASP.</w:t>
      </w:r>
    </w:p>
    <w:p w14:paraId="1A3AFFEF" w14:textId="77777777" w:rsidR="00916BF6" w:rsidRDefault="00916BF6" w:rsidP="00B40098">
      <w:pPr>
        <w:ind w:left="360"/>
        <w:rPr>
          <w:rFonts w:ascii="Times New Roman" w:hAnsi="Times New Roman" w:cs="Times New Roman"/>
          <w:sz w:val="28"/>
          <w:szCs w:val="28"/>
        </w:rPr>
      </w:pPr>
    </w:p>
    <w:p w14:paraId="0C7E21D6" w14:textId="77777777" w:rsidR="00916BF6" w:rsidRDefault="00916BF6" w:rsidP="00B40098">
      <w:pPr>
        <w:ind w:left="360"/>
        <w:rPr>
          <w:rFonts w:ascii="Times New Roman" w:hAnsi="Times New Roman" w:cs="Times New Roman"/>
          <w:sz w:val="28"/>
          <w:szCs w:val="28"/>
        </w:rPr>
      </w:pPr>
    </w:p>
    <w:p w14:paraId="29EF0266" w14:textId="095E94C6" w:rsidR="003D591D" w:rsidRPr="003F7FFA" w:rsidRDefault="003D591D" w:rsidP="00B40098">
      <w:pPr>
        <w:ind w:left="360"/>
        <w:rPr>
          <w:rFonts w:ascii="Times New Roman" w:hAnsi="Times New Roman" w:cs="Times New Roman"/>
          <w:sz w:val="28"/>
          <w:szCs w:val="28"/>
        </w:rPr>
      </w:pPr>
      <w:r w:rsidRPr="003F7FFA">
        <w:rPr>
          <w:rFonts w:ascii="Times New Roman" w:hAnsi="Times New Roman" w:cs="Times New Roman"/>
          <w:sz w:val="28"/>
          <w:szCs w:val="28"/>
        </w:rPr>
        <w:t xml:space="preserve">Слайд </w:t>
      </w:r>
      <w:r w:rsidR="002C5EF7">
        <w:rPr>
          <w:rFonts w:ascii="Times New Roman" w:hAnsi="Times New Roman" w:cs="Times New Roman"/>
          <w:sz w:val="28"/>
          <w:szCs w:val="28"/>
        </w:rPr>
        <w:t>1</w:t>
      </w:r>
      <w:r w:rsidR="00916BF6">
        <w:rPr>
          <w:rFonts w:ascii="Times New Roman" w:hAnsi="Times New Roman" w:cs="Times New Roman"/>
          <w:sz w:val="28"/>
          <w:szCs w:val="28"/>
        </w:rPr>
        <w:t>1</w:t>
      </w:r>
    </w:p>
    <w:p w14:paraId="29B776AC" w14:textId="40F59FEE" w:rsidR="00B40098" w:rsidRPr="003F7FFA" w:rsidRDefault="00063697" w:rsidP="00B40098">
      <w:pPr>
        <w:ind w:left="360"/>
        <w:rPr>
          <w:rFonts w:ascii="Times New Roman" w:hAnsi="Times New Roman" w:cs="Times New Roman"/>
          <w:sz w:val="28"/>
          <w:szCs w:val="28"/>
        </w:rPr>
      </w:pPr>
      <w:r w:rsidRPr="003F7FFA">
        <w:rPr>
          <w:rFonts w:ascii="Times New Roman" w:hAnsi="Times New Roman" w:cs="Times New Roman"/>
          <w:sz w:val="28"/>
          <w:szCs w:val="28"/>
        </w:rPr>
        <w:t>Ретроспективный анализ по данным Байкальского региона (1995–2019 гг.) показал, что применение двухуровневой модели улучшает обнаружение событий. В частности, при увеличении радиуса влияния модели ETAS до 100 км точность прогнозов возросла на 18,5 %, однако при этом доля ложных срабатываний увеличилась до 80. Эти результаты подчёркивают необходимость балансирования чувствительности и специфичности модели при настройке её параметров. Обширная база данных и стандартизированная методология валидации обеспечивают надёжность полученных оценок качества прогноза</w:t>
      </w:r>
    </w:p>
    <w:p w14:paraId="276AA833" w14:textId="77777777" w:rsidR="00F86254" w:rsidRPr="003F7FFA" w:rsidRDefault="00F86254" w:rsidP="00B40098">
      <w:pPr>
        <w:ind w:left="360"/>
        <w:rPr>
          <w:rFonts w:ascii="Times New Roman" w:hAnsi="Times New Roman" w:cs="Times New Roman"/>
          <w:sz w:val="28"/>
          <w:szCs w:val="28"/>
        </w:rPr>
      </w:pPr>
    </w:p>
    <w:p w14:paraId="00DF05AD" w14:textId="2FCA6320" w:rsidR="00F86254" w:rsidRPr="003F7FFA" w:rsidRDefault="00F86254" w:rsidP="00B40098">
      <w:pPr>
        <w:ind w:left="360"/>
        <w:rPr>
          <w:rFonts w:ascii="Times New Roman" w:hAnsi="Times New Roman" w:cs="Times New Roman"/>
          <w:sz w:val="28"/>
          <w:szCs w:val="28"/>
        </w:rPr>
      </w:pPr>
      <w:r w:rsidRPr="003F7FFA">
        <w:rPr>
          <w:rFonts w:ascii="Times New Roman" w:hAnsi="Times New Roman" w:cs="Times New Roman"/>
          <w:sz w:val="28"/>
          <w:szCs w:val="28"/>
        </w:rPr>
        <w:t xml:space="preserve">Слайд </w:t>
      </w:r>
      <w:r w:rsidR="0083364A">
        <w:rPr>
          <w:rFonts w:ascii="Times New Roman" w:hAnsi="Times New Roman" w:cs="Times New Roman"/>
          <w:sz w:val="28"/>
          <w:szCs w:val="28"/>
        </w:rPr>
        <w:t>1</w:t>
      </w:r>
      <w:r w:rsidR="00916BF6">
        <w:rPr>
          <w:rFonts w:ascii="Times New Roman" w:hAnsi="Times New Roman" w:cs="Times New Roman"/>
          <w:sz w:val="28"/>
          <w:szCs w:val="28"/>
        </w:rPr>
        <w:t>2</w:t>
      </w:r>
    </w:p>
    <w:p w14:paraId="311E5648" w14:textId="0E0C1647" w:rsidR="00F86254" w:rsidRPr="00E72A53" w:rsidRDefault="00FB279F" w:rsidP="00B40098">
      <w:pPr>
        <w:ind w:left="360"/>
        <w:rPr>
          <w:rFonts w:ascii="Times New Roman" w:hAnsi="Times New Roman" w:cs="Times New Roman"/>
          <w:sz w:val="28"/>
          <w:szCs w:val="28"/>
        </w:rPr>
      </w:pPr>
      <w:r w:rsidRPr="003F7FFA">
        <w:rPr>
          <w:rFonts w:ascii="Times New Roman" w:hAnsi="Times New Roman" w:cs="Times New Roman"/>
          <w:sz w:val="28"/>
          <w:szCs w:val="28"/>
        </w:rPr>
        <w:t xml:space="preserve">Разработанный модуль обеспечивает </w:t>
      </w:r>
      <w:r w:rsidRPr="003F7FFA">
        <w:rPr>
          <w:rFonts w:ascii="Times New Roman" w:hAnsi="Times New Roman" w:cs="Times New Roman"/>
          <w:sz w:val="28"/>
          <w:szCs w:val="28"/>
        </w:rPr>
        <w:t xml:space="preserve"> </w:t>
      </w:r>
      <w:r w:rsidRPr="003F7FFA">
        <w:rPr>
          <w:rFonts w:ascii="Times New Roman" w:hAnsi="Times New Roman" w:cs="Times New Roman"/>
          <w:sz w:val="28"/>
          <w:szCs w:val="28"/>
        </w:rPr>
        <w:t xml:space="preserve">внедрение </w:t>
      </w:r>
      <w:proofErr w:type="spellStart"/>
      <w:r w:rsidRPr="003F7FFA">
        <w:rPr>
          <w:rFonts w:ascii="Times New Roman" w:hAnsi="Times New Roman" w:cs="Times New Roman"/>
          <w:i/>
          <w:iCs/>
          <w:sz w:val="28"/>
          <w:szCs w:val="28"/>
        </w:rPr>
        <w:t>near-real-time</w:t>
      </w:r>
      <w:proofErr w:type="spellEnd"/>
      <w:r w:rsidRPr="003F7FFA">
        <w:rPr>
          <w:rFonts w:ascii="Times New Roman" w:hAnsi="Times New Roman" w:cs="Times New Roman"/>
          <w:sz w:val="28"/>
          <w:szCs w:val="28"/>
        </w:rPr>
        <w:t xml:space="preserve"> визуализацию зон повышенного сейсмического риска. Благодаря автоматической обработке данных и выведению рекомендаций сокращено время реакции на сигналы сейсмостанций с нескольких часов до нескольких секунд. Кроме того, уменьшена трудоёмкость экспертных процедур, что повышает скорость принятия решений и эффективность мер по защите населения и инфраструктуры. Эти практические улучшения свидетельствуют о значимости работы: прогнозный модуль расширяет функциональность системы RECASP, добавляя возможность поддержки принятия решений на основе прогноза землетрясений.</w:t>
      </w:r>
    </w:p>
    <w:p w14:paraId="2B10CF3A" w14:textId="64F68349" w:rsidR="00060332" w:rsidRPr="003F7FFA" w:rsidRDefault="00060332" w:rsidP="00D21366">
      <w:pPr>
        <w:ind w:left="360"/>
        <w:rPr>
          <w:rFonts w:ascii="Times New Roman" w:hAnsi="Times New Roman" w:cs="Times New Roman"/>
          <w:sz w:val="28"/>
          <w:szCs w:val="28"/>
        </w:rPr>
      </w:pPr>
    </w:p>
    <w:p w14:paraId="7D074C31" w14:textId="59BFD889" w:rsidR="006E053F" w:rsidRPr="003F7FFA" w:rsidRDefault="006E053F" w:rsidP="00D21366">
      <w:pPr>
        <w:ind w:left="360"/>
        <w:rPr>
          <w:rFonts w:ascii="Times New Roman" w:hAnsi="Times New Roman" w:cs="Times New Roman"/>
          <w:sz w:val="28"/>
          <w:szCs w:val="28"/>
        </w:rPr>
      </w:pPr>
      <w:r w:rsidRPr="003F7FFA">
        <w:rPr>
          <w:rFonts w:ascii="Times New Roman" w:hAnsi="Times New Roman" w:cs="Times New Roman"/>
          <w:sz w:val="28"/>
          <w:szCs w:val="28"/>
        </w:rPr>
        <w:t>Слайд 1</w:t>
      </w:r>
      <w:r w:rsidR="00916BF6">
        <w:rPr>
          <w:rFonts w:ascii="Times New Roman" w:hAnsi="Times New Roman" w:cs="Times New Roman"/>
          <w:sz w:val="28"/>
          <w:szCs w:val="28"/>
        </w:rPr>
        <w:t>3</w:t>
      </w:r>
    </w:p>
    <w:p w14:paraId="0836C760" w14:textId="6E6549B7" w:rsidR="006E053F" w:rsidRPr="006D3388" w:rsidRDefault="006E053F" w:rsidP="00D21366">
      <w:pPr>
        <w:ind w:left="360"/>
        <w:rPr>
          <w:rFonts w:ascii="Times New Roman" w:hAnsi="Times New Roman" w:cs="Times New Roman"/>
          <w:sz w:val="28"/>
          <w:szCs w:val="28"/>
        </w:rPr>
      </w:pPr>
      <w:r w:rsidRPr="003F7FFA">
        <w:rPr>
          <w:rFonts w:ascii="Times New Roman" w:hAnsi="Times New Roman" w:cs="Times New Roman"/>
          <w:sz w:val="28"/>
          <w:szCs w:val="28"/>
        </w:rPr>
        <w:t xml:space="preserve">Разработанный модуль СППР успешно протестирован и подтверждает свою эффективность. По итогам ретроспективных экспериментов выявляемость сильных событий в Байкальской зоне выросла до 18,5 % по сравнению с одноуровневой моделью. Модуль готов к дальнейшему расширению и совершенствованию. В числе перспективных направлений – использование вычислений на GPU и адаптивной сетки для ускорения перерасчёта карт прогнозов, а также интеграция новых ИИ-алгоритмов и актуальных данных мониторинга. В целом представленный подход демонстрирует, что комбинация статистических моделей (KDE, ETAS) и экспертных правил в составе СППР позволяет повысить оперативность и </w:t>
      </w:r>
      <w:r w:rsidRPr="003F7FFA">
        <w:rPr>
          <w:rFonts w:ascii="Times New Roman" w:hAnsi="Times New Roman" w:cs="Times New Roman"/>
          <w:sz w:val="28"/>
          <w:szCs w:val="28"/>
        </w:rPr>
        <w:lastRenderedPageBreak/>
        <w:t xml:space="preserve">надёжность прогноза землетрясений, что важно для повышения </w:t>
      </w:r>
      <w:proofErr w:type="spellStart"/>
      <w:r w:rsidRPr="003F7FFA">
        <w:rPr>
          <w:rFonts w:ascii="Times New Roman" w:hAnsi="Times New Roman" w:cs="Times New Roman"/>
          <w:sz w:val="28"/>
          <w:szCs w:val="28"/>
        </w:rPr>
        <w:t>сейсмобезопасности</w:t>
      </w:r>
      <w:proofErr w:type="spellEnd"/>
      <w:r w:rsidRPr="003F7FFA">
        <w:rPr>
          <w:rFonts w:ascii="Times New Roman" w:hAnsi="Times New Roman" w:cs="Times New Roman"/>
          <w:sz w:val="28"/>
          <w:szCs w:val="28"/>
        </w:rPr>
        <w:t xml:space="preserve"> региона.</w:t>
      </w:r>
    </w:p>
    <w:p w14:paraId="5B8B3082" w14:textId="77777777" w:rsidR="00FF5E7F" w:rsidRPr="003F7FFA" w:rsidRDefault="00FF5E7F">
      <w:pPr>
        <w:rPr>
          <w:rFonts w:ascii="Times New Roman" w:hAnsi="Times New Roman" w:cs="Times New Roman"/>
          <w:sz w:val="28"/>
          <w:szCs w:val="28"/>
        </w:rPr>
      </w:pPr>
    </w:p>
    <w:sectPr w:rsidR="00FF5E7F" w:rsidRPr="003F7F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D1C035D6"/>
    <w:lvl w:ilvl="0">
      <w:start w:val="1"/>
      <w:numFmt w:val="decimal"/>
      <w:pStyle w:val="2"/>
      <w:lvlText w:val="%1."/>
      <w:lvlJc w:val="left"/>
      <w:pPr>
        <w:tabs>
          <w:tab w:val="num" w:pos="720"/>
        </w:tabs>
        <w:ind w:left="720" w:hanging="360"/>
      </w:pPr>
    </w:lvl>
  </w:abstractNum>
  <w:abstractNum w:abstractNumId="1" w15:restartNumberingAfterBreak="0">
    <w:nsid w:val="FFFFFF88"/>
    <w:multiLevelType w:val="singleLevel"/>
    <w:tmpl w:val="BFF21A28"/>
    <w:lvl w:ilvl="0">
      <w:start w:val="1"/>
      <w:numFmt w:val="decimal"/>
      <w:pStyle w:val="a"/>
      <w:lvlText w:val="%1."/>
      <w:lvlJc w:val="left"/>
      <w:pPr>
        <w:tabs>
          <w:tab w:val="num" w:pos="360"/>
        </w:tabs>
        <w:ind w:left="360" w:hanging="360"/>
      </w:pPr>
    </w:lvl>
  </w:abstractNum>
  <w:abstractNum w:abstractNumId="2" w15:restartNumberingAfterBreak="0">
    <w:nsid w:val="FFFFFF89"/>
    <w:multiLevelType w:val="singleLevel"/>
    <w:tmpl w:val="42504936"/>
    <w:lvl w:ilvl="0">
      <w:start w:val="1"/>
      <w:numFmt w:val="bullet"/>
      <w:pStyle w:val="a0"/>
      <w:lvlText w:val=""/>
      <w:lvlJc w:val="left"/>
      <w:pPr>
        <w:tabs>
          <w:tab w:val="num" w:pos="360"/>
        </w:tabs>
        <w:ind w:left="360" w:hanging="360"/>
      </w:pPr>
      <w:rPr>
        <w:rFonts w:ascii="Symbol" w:hAnsi="Symbol" w:hint="default"/>
      </w:rPr>
    </w:lvl>
  </w:abstractNum>
  <w:abstractNum w:abstractNumId="3" w15:restartNumberingAfterBreak="0">
    <w:nsid w:val="37AA3CC6"/>
    <w:multiLevelType w:val="multilevel"/>
    <w:tmpl w:val="6AD4E86C"/>
    <w:styleLink w:val="a1"/>
    <w:lvl w:ilvl="0">
      <w:start w:val="1"/>
      <w:numFmt w:val="lowerLetter"/>
      <w:lvlText w:val="%1)"/>
      <w:lvlJc w:val="left"/>
      <w:pPr>
        <w:tabs>
          <w:tab w:val="num" w:pos="1134"/>
        </w:tabs>
        <w:ind w:left="709" w:firstLine="0"/>
      </w:pPr>
      <w:rPr>
        <w:rFonts w:ascii="Times New Roman" w:hAnsi="Times New Roman"/>
        <w:sz w:val="28"/>
      </w:rPr>
    </w:lvl>
    <w:lvl w:ilvl="1">
      <w:start w:val="1"/>
      <w:numFmt w:val="lowerLetter"/>
      <w:lvlText w:val="%2)"/>
      <w:lvlJc w:val="left"/>
      <w:pPr>
        <w:tabs>
          <w:tab w:val="num" w:pos="1418"/>
        </w:tabs>
        <w:ind w:left="1134"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C4A261A"/>
    <w:multiLevelType w:val="multilevel"/>
    <w:tmpl w:val="F030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9C0E61"/>
    <w:multiLevelType w:val="multilevel"/>
    <w:tmpl w:val="9F50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941C84"/>
    <w:multiLevelType w:val="hybridMultilevel"/>
    <w:tmpl w:val="683E8CFA"/>
    <w:lvl w:ilvl="0" w:tplc="A37C46A6">
      <w:start w:val="1"/>
      <w:numFmt w:val="lowerLetter"/>
      <w:pStyle w:val="1"/>
      <w:lvlText w:val="%1)"/>
      <w:lvlJc w:val="left"/>
      <w:pPr>
        <w:ind w:left="2138" w:hanging="360"/>
      </w:p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7" w15:restartNumberingAfterBreak="0">
    <w:nsid w:val="6D657920"/>
    <w:multiLevelType w:val="hybridMultilevel"/>
    <w:tmpl w:val="233E48E8"/>
    <w:lvl w:ilvl="0" w:tplc="2ECCD3DA">
      <w:start w:val="1"/>
      <w:numFmt w:val="lowerLetter"/>
      <w:pStyle w:val="20"/>
      <w:lvlText w:val="%1)"/>
      <w:lvlJc w:val="left"/>
      <w:pPr>
        <w:ind w:left="2138" w:hanging="360"/>
      </w:p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8" w15:restartNumberingAfterBreak="0">
    <w:nsid w:val="76933EFA"/>
    <w:multiLevelType w:val="hybridMultilevel"/>
    <w:tmpl w:val="7870F298"/>
    <w:lvl w:ilvl="0" w:tplc="75DAAA1E">
      <w:start w:val="1"/>
      <w:numFmt w:val="bullet"/>
      <w:pStyle w:val="a2"/>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8B5159E"/>
    <w:multiLevelType w:val="multilevel"/>
    <w:tmpl w:val="0EF4F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4513205">
    <w:abstractNumId w:val="2"/>
  </w:num>
  <w:num w:numId="2" w16cid:durableId="1903327925">
    <w:abstractNumId w:val="8"/>
  </w:num>
  <w:num w:numId="3" w16cid:durableId="1453599044">
    <w:abstractNumId w:val="3"/>
  </w:num>
  <w:num w:numId="4" w16cid:durableId="1582063991">
    <w:abstractNumId w:val="1"/>
  </w:num>
  <w:num w:numId="5" w16cid:durableId="1184173497">
    <w:abstractNumId w:val="6"/>
  </w:num>
  <w:num w:numId="6" w16cid:durableId="402458642">
    <w:abstractNumId w:val="0"/>
  </w:num>
  <w:num w:numId="7" w16cid:durableId="1399405737">
    <w:abstractNumId w:val="7"/>
  </w:num>
  <w:num w:numId="8" w16cid:durableId="1983776745">
    <w:abstractNumId w:val="4"/>
  </w:num>
  <w:num w:numId="9" w16cid:durableId="1636134622">
    <w:abstractNumId w:val="5"/>
  </w:num>
  <w:num w:numId="10" w16cid:durableId="7382881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FD5"/>
    <w:rsid w:val="00005267"/>
    <w:rsid w:val="00025FD5"/>
    <w:rsid w:val="00060332"/>
    <w:rsid w:val="00063697"/>
    <w:rsid w:val="001E432C"/>
    <w:rsid w:val="002C5EF7"/>
    <w:rsid w:val="003D591D"/>
    <w:rsid w:val="003F5B6D"/>
    <w:rsid w:val="003F7FFA"/>
    <w:rsid w:val="00441B82"/>
    <w:rsid w:val="00451F74"/>
    <w:rsid w:val="004B59C8"/>
    <w:rsid w:val="004D0E87"/>
    <w:rsid w:val="00576B18"/>
    <w:rsid w:val="006D3388"/>
    <w:rsid w:val="006E053F"/>
    <w:rsid w:val="0083364A"/>
    <w:rsid w:val="00916BF6"/>
    <w:rsid w:val="00A3314C"/>
    <w:rsid w:val="00A8272D"/>
    <w:rsid w:val="00AF4EA0"/>
    <w:rsid w:val="00B40098"/>
    <w:rsid w:val="00CB6D40"/>
    <w:rsid w:val="00D21366"/>
    <w:rsid w:val="00E20BDF"/>
    <w:rsid w:val="00E72A53"/>
    <w:rsid w:val="00F86254"/>
    <w:rsid w:val="00FB279F"/>
    <w:rsid w:val="00FF5E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EBEA3"/>
  <w15:chartTrackingRefBased/>
  <w15:docId w15:val="{8A9208D9-CC28-43A9-A75D-5D7F11E81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3F5B6D"/>
  </w:style>
  <w:style w:type="paragraph" w:styleId="10">
    <w:name w:val="heading 1"/>
    <w:basedOn w:val="a3"/>
    <w:next w:val="a3"/>
    <w:link w:val="11"/>
    <w:uiPriority w:val="9"/>
    <w:qFormat/>
    <w:rsid w:val="00A8272D"/>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21">
    <w:name w:val="heading 2"/>
    <w:basedOn w:val="a3"/>
    <w:next w:val="a3"/>
    <w:link w:val="22"/>
    <w:uiPriority w:val="9"/>
    <w:semiHidden/>
    <w:unhideWhenUsed/>
    <w:qFormat/>
    <w:rsid w:val="00A8272D"/>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3">
    <w:name w:val="heading 3"/>
    <w:basedOn w:val="a3"/>
    <w:next w:val="a3"/>
    <w:link w:val="30"/>
    <w:uiPriority w:val="9"/>
    <w:semiHidden/>
    <w:unhideWhenUsed/>
    <w:qFormat/>
    <w:rsid w:val="00025FD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3"/>
    <w:next w:val="a3"/>
    <w:link w:val="40"/>
    <w:uiPriority w:val="9"/>
    <w:semiHidden/>
    <w:unhideWhenUsed/>
    <w:qFormat/>
    <w:rsid w:val="00025FD5"/>
    <w:pPr>
      <w:keepNext/>
      <w:keepLines/>
      <w:spacing w:before="80" w:after="40"/>
      <w:outlineLvl w:val="3"/>
    </w:pPr>
    <w:rPr>
      <w:rFonts w:eastAsiaTheme="majorEastAsia" w:cstheme="majorBidi"/>
      <w:i/>
      <w:iCs/>
      <w:color w:val="0F4761" w:themeColor="accent1" w:themeShade="BF"/>
    </w:rPr>
  </w:style>
  <w:style w:type="paragraph" w:styleId="5">
    <w:name w:val="heading 5"/>
    <w:basedOn w:val="a3"/>
    <w:next w:val="a3"/>
    <w:link w:val="50"/>
    <w:uiPriority w:val="9"/>
    <w:semiHidden/>
    <w:unhideWhenUsed/>
    <w:qFormat/>
    <w:rsid w:val="00025FD5"/>
    <w:pPr>
      <w:keepNext/>
      <w:keepLines/>
      <w:spacing w:before="80" w:after="40"/>
      <w:outlineLvl w:val="4"/>
    </w:pPr>
    <w:rPr>
      <w:rFonts w:eastAsiaTheme="majorEastAsia" w:cstheme="majorBidi"/>
      <w:color w:val="0F4761" w:themeColor="accent1" w:themeShade="BF"/>
    </w:rPr>
  </w:style>
  <w:style w:type="paragraph" w:styleId="6">
    <w:name w:val="heading 6"/>
    <w:basedOn w:val="a3"/>
    <w:next w:val="a3"/>
    <w:link w:val="60"/>
    <w:uiPriority w:val="9"/>
    <w:semiHidden/>
    <w:unhideWhenUsed/>
    <w:qFormat/>
    <w:rsid w:val="00025FD5"/>
    <w:pPr>
      <w:keepNext/>
      <w:keepLines/>
      <w:spacing w:before="40" w:after="0"/>
      <w:outlineLvl w:val="5"/>
    </w:pPr>
    <w:rPr>
      <w:rFonts w:eastAsiaTheme="majorEastAsia" w:cstheme="majorBidi"/>
      <w:i/>
      <w:iCs/>
      <w:color w:val="595959" w:themeColor="text1" w:themeTint="A6"/>
    </w:rPr>
  </w:style>
  <w:style w:type="paragraph" w:styleId="7">
    <w:name w:val="heading 7"/>
    <w:basedOn w:val="a3"/>
    <w:next w:val="a3"/>
    <w:link w:val="70"/>
    <w:uiPriority w:val="9"/>
    <w:semiHidden/>
    <w:unhideWhenUsed/>
    <w:qFormat/>
    <w:rsid w:val="00025FD5"/>
    <w:pPr>
      <w:keepNext/>
      <w:keepLines/>
      <w:spacing w:before="40" w:after="0"/>
      <w:outlineLvl w:val="6"/>
    </w:pPr>
    <w:rPr>
      <w:rFonts w:eastAsiaTheme="majorEastAsia" w:cstheme="majorBidi"/>
      <w:color w:val="595959" w:themeColor="text1" w:themeTint="A6"/>
    </w:rPr>
  </w:style>
  <w:style w:type="paragraph" w:styleId="8">
    <w:name w:val="heading 8"/>
    <w:basedOn w:val="a3"/>
    <w:next w:val="a3"/>
    <w:link w:val="80"/>
    <w:uiPriority w:val="9"/>
    <w:semiHidden/>
    <w:unhideWhenUsed/>
    <w:qFormat/>
    <w:rsid w:val="00025FD5"/>
    <w:pPr>
      <w:keepNext/>
      <w:keepLines/>
      <w:spacing w:after="0"/>
      <w:outlineLvl w:val="7"/>
    </w:pPr>
    <w:rPr>
      <w:rFonts w:eastAsiaTheme="majorEastAsia" w:cstheme="majorBidi"/>
      <w:i/>
      <w:iCs/>
      <w:color w:val="272727" w:themeColor="text1" w:themeTint="D8"/>
    </w:rPr>
  </w:style>
  <w:style w:type="paragraph" w:styleId="9">
    <w:name w:val="heading 9"/>
    <w:basedOn w:val="a3"/>
    <w:next w:val="a3"/>
    <w:link w:val="90"/>
    <w:uiPriority w:val="9"/>
    <w:semiHidden/>
    <w:unhideWhenUsed/>
    <w:qFormat/>
    <w:rsid w:val="00025FD5"/>
    <w:pPr>
      <w:keepNext/>
      <w:keepLines/>
      <w:spacing w:after="0"/>
      <w:outlineLvl w:val="8"/>
    </w:pPr>
    <w:rPr>
      <w:rFonts w:eastAsiaTheme="majorEastAsia" w:cstheme="majorBidi"/>
      <w:color w:val="272727" w:themeColor="text1" w:themeTint="D8"/>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List Paragraph"/>
    <w:basedOn w:val="a3"/>
    <w:uiPriority w:val="34"/>
    <w:qFormat/>
    <w:rsid w:val="00A8272D"/>
    <w:pPr>
      <w:spacing w:after="200" w:line="276" w:lineRule="auto"/>
      <w:ind w:left="720"/>
      <w:contextualSpacing/>
    </w:pPr>
  </w:style>
  <w:style w:type="paragraph" w:customStyle="1" w:styleId="a8">
    <w:name w:val="Вовиков Абзац"/>
    <w:basedOn w:val="a3"/>
    <w:qFormat/>
    <w:rsid w:val="00A8272D"/>
    <w:pPr>
      <w:spacing w:after="0" w:line="240" w:lineRule="auto"/>
      <w:ind w:firstLine="709"/>
      <w:jc w:val="both"/>
    </w:pPr>
    <w:rPr>
      <w:rFonts w:ascii="Times New Roman" w:hAnsi="Times New Roman"/>
      <w:color w:val="000000" w:themeColor="text1"/>
      <w:sz w:val="28"/>
      <w:lang w:eastAsia="ru-RU"/>
    </w:rPr>
  </w:style>
  <w:style w:type="paragraph" w:customStyle="1" w:styleId="31">
    <w:name w:val="Вовиков Заголовок 3"/>
    <w:basedOn w:val="a8"/>
    <w:qFormat/>
    <w:rsid w:val="00A8272D"/>
    <w:pPr>
      <w:keepNext/>
      <w:spacing w:before="60" w:after="60"/>
      <w:jc w:val="left"/>
      <w:outlineLvl w:val="2"/>
    </w:pPr>
    <w:rPr>
      <w:rFonts w:cs="Times New Roman"/>
      <w:b/>
    </w:rPr>
  </w:style>
  <w:style w:type="paragraph" w:customStyle="1" w:styleId="12">
    <w:name w:val="Вовиков Заголовок1"/>
    <w:basedOn w:val="10"/>
    <w:next w:val="a8"/>
    <w:qFormat/>
    <w:rsid w:val="00A8272D"/>
    <w:pPr>
      <w:spacing w:before="80" w:after="80" w:line="240" w:lineRule="auto"/>
      <w:ind w:firstLine="709"/>
    </w:pPr>
    <w:rPr>
      <w:rFonts w:ascii="Times New Roman" w:hAnsi="Times New Roman"/>
      <w:b/>
      <w:bCs/>
      <w:color w:val="000000" w:themeColor="text1"/>
      <w:sz w:val="28"/>
      <w:szCs w:val="28"/>
      <w:lang w:eastAsia="ru-RU"/>
    </w:rPr>
  </w:style>
  <w:style w:type="character" w:customStyle="1" w:styleId="11">
    <w:name w:val="Заголовок 1 Знак"/>
    <w:basedOn w:val="a4"/>
    <w:link w:val="10"/>
    <w:uiPriority w:val="9"/>
    <w:rsid w:val="00A8272D"/>
    <w:rPr>
      <w:rFonts w:asciiTheme="majorHAnsi" w:eastAsiaTheme="majorEastAsia" w:hAnsiTheme="majorHAnsi" w:cstheme="majorBidi"/>
      <w:color w:val="0F4761" w:themeColor="accent1" w:themeShade="BF"/>
      <w:sz w:val="32"/>
      <w:szCs w:val="32"/>
    </w:rPr>
  </w:style>
  <w:style w:type="paragraph" w:customStyle="1" w:styleId="23">
    <w:name w:val="Вовиков Заголовок2"/>
    <w:basedOn w:val="21"/>
    <w:next w:val="a8"/>
    <w:qFormat/>
    <w:rsid w:val="00A8272D"/>
    <w:pPr>
      <w:spacing w:before="60" w:after="60" w:line="240" w:lineRule="auto"/>
      <w:ind w:firstLine="709"/>
      <w:jc w:val="both"/>
    </w:pPr>
    <w:rPr>
      <w:rFonts w:ascii="Times New Roman" w:hAnsi="Times New Roman"/>
      <w:b/>
      <w:bCs/>
      <w:color w:val="000000" w:themeColor="text1"/>
      <w:sz w:val="28"/>
      <w:lang w:eastAsia="ru-RU"/>
    </w:rPr>
  </w:style>
  <w:style w:type="character" w:customStyle="1" w:styleId="22">
    <w:name w:val="Заголовок 2 Знак"/>
    <w:basedOn w:val="a4"/>
    <w:link w:val="21"/>
    <w:uiPriority w:val="9"/>
    <w:semiHidden/>
    <w:rsid w:val="00A8272D"/>
    <w:rPr>
      <w:rFonts w:asciiTheme="majorHAnsi" w:eastAsiaTheme="majorEastAsia" w:hAnsiTheme="majorHAnsi" w:cstheme="majorBidi"/>
      <w:color w:val="0F4761" w:themeColor="accent1" w:themeShade="BF"/>
      <w:sz w:val="26"/>
      <w:szCs w:val="26"/>
    </w:rPr>
  </w:style>
  <w:style w:type="paragraph" w:customStyle="1" w:styleId="a2">
    <w:name w:val="Вовиков Маркированный список"/>
    <w:basedOn w:val="a0"/>
    <w:next w:val="a8"/>
    <w:qFormat/>
    <w:rsid w:val="00A8272D"/>
    <w:pPr>
      <w:numPr>
        <w:numId w:val="2"/>
      </w:numPr>
      <w:tabs>
        <w:tab w:val="left" w:pos="992"/>
      </w:tabs>
      <w:spacing w:before="60" w:after="0" w:line="240" w:lineRule="auto"/>
      <w:jc w:val="both"/>
    </w:pPr>
    <w:rPr>
      <w:rFonts w:ascii="Times New Roman" w:hAnsi="Times New Roman"/>
      <w:sz w:val="28"/>
    </w:rPr>
  </w:style>
  <w:style w:type="paragraph" w:styleId="a0">
    <w:name w:val="List Bullet"/>
    <w:basedOn w:val="a3"/>
    <w:uiPriority w:val="99"/>
    <w:semiHidden/>
    <w:unhideWhenUsed/>
    <w:rsid w:val="00A8272D"/>
    <w:pPr>
      <w:numPr>
        <w:numId w:val="1"/>
      </w:numPr>
      <w:contextualSpacing/>
    </w:pPr>
  </w:style>
  <w:style w:type="numbering" w:customStyle="1" w:styleId="a1">
    <w:name w:val="Вовиков нумерованный список"/>
    <w:basedOn w:val="a6"/>
    <w:uiPriority w:val="99"/>
    <w:rsid w:val="00A8272D"/>
    <w:pPr>
      <w:numPr>
        <w:numId w:val="3"/>
      </w:numPr>
    </w:pPr>
  </w:style>
  <w:style w:type="paragraph" w:customStyle="1" w:styleId="1">
    <w:name w:val="Вовиков Нумерованный список1"/>
    <w:basedOn w:val="a"/>
    <w:next w:val="a8"/>
    <w:qFormat/>
    <w:rsid w:val="00A8272D"/>
    <w:pPr>
      <w:numPr>
        <w:numId w:val="5"/>
      </w:numPr>
      <w:tabs>
        <w:tab w:val="left" w:pos="1134"/>
      </w:tabs>
      <w:spacing w:after="0" w:line="240" w:lineRule="auto"/>
      <w:jc w:val="both"/>
    </w:pPr>
    <w:rPr>
      <w:rFonts w:ascii="Times New Roman" w:hAnsi="Times New Roman"/>
      <w:sz w:val="28"/>
    </w:rPr>
  </w:style>
  <w:style w:type="paragraph" w:styleId="a">
    <w:name w:val="List Number"/>
    <w:basedOn w:val="a3"/>
    <w:uiPriority w:val="99"/>
    <w:semiHidden/>
    <w:unhideWhenUsed/>
    <w:rsid w:val="00A8272D"/>
    <w:pPr>
      <w:numPr>
        <w:numId w:val="4"/>
      </w:numPr>
      <w:contextualSpacing/>
    </w:pPr>
  </w:style>
  <w:style w:type="paragraph" w:customStyle="1" w:styleId="20">
    <w:name w:val="Вовиков Нумерованный список2"/>
    <w:basedOn w:val="2"/>
    <w:next w:val="a8"/>
    <w:qFormat/>
    <w:rsid w:val="00A8272D"/>
    <w:pPr>
      <w:numPr>
        <w:numId w:val="7"/>
      </w:numPr>
      <w:tabs>
        <w:tab w:val="left" w:pos="1418"/>
      </w:tabs>
      <w:spacing w:before="60" w:after="0" w:line="240" w:lineRule="auto"/>
      <w:jc w:val="both"/>
    </w:pPr>
    <w:rPr>
      <w:rFonts w:ascii="Times New Roman" w:hAnsi="Times New Roman"/>
      <w:sz w:val="28"/>
    </w:rPr>
  </w:style>
  <w:style w:type="paragraph" w:styleId="2">
    <w:name w:val="List Number 2"/>
    <w:basedOn w:val="a3"/>
    <w:uiPriority w:val="99"/>
    <w:semiHidden/>
    <w:unhideWhenUsed/>
    <w:rsid w:val="00A8272D"/>
    <w:pPr>
      <w:numPr>
        <w:numId w:val="6"/>
      </w:numPr>
      <w:contextualSpacing/>
    </w:pPr>
  </w:style>
  <w:style w:type="table" w:customStyle="1" w:styleId="a9">
    <w:name w:val="Вовиков Стиль таблицы"/>
    <w:basedOn w:val="a5"/>
    <w:uiPriority w:val="99"/>
    <w:rsid w:val="00A8272D"/>
    <w:pPr>
      <w:spacing w:after="0" w:line="240" w:lineRule="auto"/>
      <w:ind w:firstLine="284"/>
      <w:jc w:val="both"/>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ind w:firstLineChars="0" w:firstLine="0"/>
        <w:jc w:val="center"/>
      </w:pPr>
      <w:rPr>
        <w:rFonts w:ascii="Times New Roman" w:hAnsi="Times New Roman"/>
        <w:sz w:val="28"/>
      </w:rPr>
    </w:tblStylePr>
  </w:style>
  <w:style w:type="table" w:customStyle="1" w:styleId="aa">
    <w:name w:val="Вовиков таблицы"/>
    <w:basedOn w:val="a5"/>
    <w:uiPriority w:val="99"/>
    <w:rsid w:val="00A8272D"/>
    <w:pPr>
      <w:spacing w:after="0" w:line="240" w:lineRule="auto"/>
    </w:pPr>
    <w:rPr>
      <w:rFonts w:ascii="Times New Roman" w:hAnsi="Times New Roman"/>
      <w:sz w:val="28"/>
    </w:rPr>
    <w:tblPr/>
  </w:style>
  <w:style w:type="character" w:customStyle="1" w:styleId="30">
    <w:name w:val="Заголовок 3 Знак"/>
    <w:basedOn w:val="a4"/>
    <w:link w:val="3"/>
    <w:uiPriority w:val="9"/>
    <w:semiHidden/>
    <w:rsid w:val="00025FD5"/>
    <w:rPr>
      <w:rFonts w:eastAsiaTheme="majorEastAsia" w:cstheme="majorBidi"/>
      <w:color w:val="0F4761" w:themeColor="accent1" w:themeShade="BF"/>
      <w:sz w:val="28"/>
      <w:szCs w:val="28"/>
    </w:rPr>
  </w:style>
  <w:style w:type="character" w:customStyle="1" w:styleId="40">
    <w:name w:val="Заголовок 4 Знак"/>
    <w:basedOn w:val="a4"/>
    <w:link w:val="4"/>
    <w:uiPriority w:val="9"/>
    <w:semiHidden/>
    <w:rsid w:val="00025FD5"/>
    <w:rPr>
      <w:rFonts w:eastAsiaTheme="majorEastAsia" w:cstheme="majorBidi"/>
      <w:i/>
      <w:iCs/>
      <w:color w:val="0F4761" w:themeColor="accent1" w:themeShade="BF"/>
    </w:rPr>
  </w:style>
  <w:style w:type="character" w:customStyle="1" w:styleId="50">
    <w:name w:val="Заголовок 5 Знак"/>
    <w:basedOn w:val="a4"/>
    <w:link w:val="5"/>
    <w:uiPriority w:val="9"/>
    <w:semiHidden/>
    <w:rsid w:val="00025FD5"/>
    <w:rPr>
      <w:rFonts w:eastAsiaTheme="majorEastAsia" w:cstheme="majorBidi"/>
      <w:color w:val="0F4761" w:themeColor="accent1" w:themeShade="BF"/>
    </w:rPr>
  </w:style>
  <w:style w:type="character" w:customStyle="1" w:styleId="60">
    <w:name w:val="Заголовок 6 Знак"/>
    <w:basedOn w:val="a4"/>
    <w:link w:val="6"/>
    <w:uiPriority w:val="9"/>
    <w:semiHidden/>
    <w:rsid w:val="00025FD5"/>
    <w:rPr>
      <w:rFonts w:eastAsiaTheme="majorEastAsia" w:cstheme="majorBidi"/>
      <w:i/>
      <w:iCs/>
      <w:color w:val="595959" w:themeColor="text1" w:themeTint="A6"/>
    </w:rPr>
  </w:style>
  <w:style w:type="character" w:customStyle="1" w:styleId="70">
    <w:name w:val="Заголовок 7 Знак"/>
    <w:basedOn w:val="a4"/>
    <w:link w:val="7"/>
    <w:uiPriority w:val="9"/>
    <w:semiHidden/>
    <w:rsid w:val="00025FD5"/>
    <w:rPr>
      <w:rFonts w:eastAsiaTheme="majorEastAsia" w:cstheme="majorBidi"/>
      <w:color w:val="595959" w:themeColor="text1" w:themeTint="A6"/>
    </w:rPr>
  </w:style>
  <w:style w:type="character" w:customStyle="1" w:styleId="80">
    <w:name w:val="Заголовок 8 Знак"/>
    <w:basedOn w:val="a4"/>
    <w:link w:val="8"/>
    <w:uiPriority w:val="9"/>
    <w:semiHidden/>
    <w:rsid w:val="00025FD5"/>
    <w:rPr>
      <w:rFonts w:eastAsiaTheme="majorEastAsia" w:cstheme="majorBidi"/>
      <w:i/>
      <w:iCs/>
      <w:color w:val="272727" w:themeColor="text1" w:themeTint="D8"/>
    </w:rPr>
  </w:style>
  <w:style w:type="character" w:customStyle="1" w:styleId="90">
    <w:name w:val="Заголовок 9 Знак"/>
    <w:basedOn w:val="a4"/>
    <w:link w:val="9"/>
    <w:uiPriority w:val="9"/>
    <w:semiHidden/>
    <w:rsid w:val="00025FD5"/>
    <w:rPr>
      <w:rFonts w:eastAsiaTheme="majorEastAsia" w:cstheme="majorBidi"/>
      <w:color w:val="272727" w:themeColor="text1" w:themeTint="D8"/>
    </w:rPr>
  </w:style>
  <w:style w:type="paragraph" w:styleId="ab">
    <w:name w:val="Title"/>
    <w:basedOn w:val="a3"/>
    <w:next w:val="a3"/>
    <w:link w:val="ac"/>
    <w:uiPriority w:val="10"/>
    <w:qFormat/>
    <w:rsid w:val="00025F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c">
    <w:name w:val="Заголовок Знак"/>
    <w:basedOn w:val="a4"/>
    <w:link w:val="ab"/>
    <w:uiPriority w:val="10"/>
    <w:rsid w:val="00025FD5"/>
    <w:rPr>
      <w:rFonts w:asciiTheme="majorHAnsi" w:eastAsiaTheme="majorEastAsia" w:hAnsiTheme="majorHAnsi" w:cstheme="majorBidi"/>
      <w:spacing w:val="-10"/>
      <w:kern w:val="28"/>
      <w:sz w:val="56"/>
      <w:szCs w:val="56"/>
    </w:rPr>
  </w:style>
  <w:style w:type="paragraph" w:styleId="ad">
    <w:name w:val="Subtitle"/>
    <w:basedOn w:val="a3"/>
    <w:next w:val="a3"/>
    <w:link w:val="ae"/>
    <w:uiPriority w:val="11"/>
    <w:qFormat/>
    <w:rsid w:val="00025FD5"/>
    <w:pPr>
      <w:numPr>
        <w:ilvl w:val="1"/>
      </w:numPr>
    </w:pPr>
    <w:rPr>
      <w:rFonts w:eastAsiaTheme="majorEastAsia" w:cstheme="majorBidi"/>
      <w:color w:val="595959" w:themeColor="text1" w:themeTint="A6"/>
      <w:spacing w:val="15"/>
      <w:sz w:val="28"/>
      <w:szCs w:val="28"/>
    </w:rPr>
  </w:style>
  <w:style w:type="character" w:customStyle="1" w:styleId="ae">
    <w:name w:val="Подзаголовок Знак"/>
    <w:basedOn w:val="a4"/>
    <w:link w:val="ad"/>
    <w:uiPriority w:val="11"/>
    <w:rsid w:val="00025FD5"/>
    <w:rPr>
      <w:rFonts w:eastAsiaTheme="majorEastAsia" w:cstheme="majorBidi"/>
      <w:color w:val="595959" w:themeColor="text1" w:themeTint="A6"/>
      <w:spacing w:val="15"/>
      <w:sz w:val="28"/>
      <w:szCs w:val="28"/>
    </w:rPr>
  </w:style>
  <w:style w:type="paragraph" w:styleId="24">
    <w:name w:val="Quote"/>
    <w:basedOn w:val="a3"/>
    <w:next w:val="a3"/>
    <w:link w:val="25"/>
    <w:uiPriority w:val="29"/>
    <w:qFormat/>
    <w:rsid w:val="00025FD5"/>
    <w:pPr>
      <w:spacing w:before="160"/>
      <w:jc w:val="center"/>
    </w:pPr>
    <w:rPr>
      <w:i/>
      <w:iCs/>
      <w:color w:val="404040" w:themeColor="text1" w:themeTint="BF"/>
    </w:rPr>
  </w:style>
  <w:style w:type="character" w:customStyle="1" w:styleId="25">
    <w:name w:val="Цитата 2 Знак"/>
    <w:basedOn w:val="a4"/>
    <w:link w:val="24"/>
    <w:uiPriority w:val="29"/>
    <w:rsid w:val="00025FD5"/>
    <w:rPr>
      <w:i/>
      <w:iCs/>
      <w:color w:val="404040" w:themeColor="text1" w:themeTint="BF"/>
    </w:rPr>
  </w:style>
  <w:style w:type="character" w:styleId="af">
    <w:name w:val="Intense Emphasis"/>
    <w:basedOn w:val="a4"/>
    <w:uiPriority w:val="21"/>
    <w:qFormat/>
    <w:rsid w:val="00025FD5"/>
    <w:rPr>
      <w:i/>
      <w:iCs/>
      <w:color w:val="0F4761" w:themeColor="accent1" w:themeShade="BF"/>
    </w:rPr>
  </w:style>
  <w:style w:type="paragraph" w:styleId="af0">
    <w:name w:val="Intense Quote"/>
    <w:basedOn w:val="a3"/>
    <w:next w:val="a3"/>
    <w:link w:val="af1"/>
    <w:uiPriority w:val="30"/>
    <w:qFormat/>
    <w:rsid w:val="00025F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1">
    <w:name w:val="Выделенная цитата Знак"/>
    <w:basedOn w:val="a4"/>
    <w:link w:val="af0"/>
    <w:uiPriority w:val="30"/>
    <w:rsid w:val="00025FD5"/>
    <w:rPr>
      <w:i/>
      <w:iCs/>
      <w:color w:val="0F4761" w:themeColor="accent1" w:themeShade="BF"/>
    </w:rPr>
  </w:style>
  <w:style w:type="character" w:styleId="af2">
    <w:name w:val="Intense Reference"/>
    <w:basedOn w:val="a4"/>
    <w:uiPriority w:val="32"/>
    <w:qFormat/>
    <w:rsid w:val="00025FD5"/>
    <w:rPr>
      <w:b/>
      <w:bCs/>
      <w:smallCaps/>
      <w:color w:val="0F4761" w:themeColor="accent1" w:themeShade="BF"/>
      <w:spacing w:val="5"/>
    </w:rPr>
  </w:style>
  <w:style w:type="paragraph" w:styleId="af3">
    <w:name w:val="Normal (Web)"/>
    <w:basedOn w:val="a3"/>
    <w:uiPriority w:val="99"/>
    <w:semiHidden/>
    <w:unhideWhenUsed/>
    <w:rsid w:val="00CB6D4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106513">
      <w:bodyDiv w:val="1"/>
      <w:marLeft w:val="0"/>
      <w:marRight w:val="0"/>
      <w:marTop w:val="0"/>
      <w:marBottom w:val="0"/>
      <w:divBdr>
        <w:top w:val="none" w:sz="0" w:space="0" w:color="auto"/>
        <w:left w:val="none" w:sz="0" w:space="0" w:color="auto"/>
        <w:bottom w:val="none" w:sz="0" w:space="0" w:color="auto"/>
        <w:right w:val="none" w:sz="0" w:space="0" w:color="auto"/>
      </w:divBdr>
    </w:div>
    <w:div w:id="220676296">
      <w:bodyDiv w:val="1"/>
      <w:marLeft w:val="0"/>
      <w:marRight w:val="0"/>
      <w:marTop w:val="0"/>
      <w:marBottom w:val="0"/>
      <w:divBdr>
        <w:top w:val="none" w:sz="0" w:space="0" w:color="auto"/>
        <w:left w:val="none" w:sz="0" w:space="0" w:color="auto"/>
        <w:bottom w:val="none" w:sz="0" w:space="0" w:color="auto"/>
        <w:right w:val="none" w:sz="0" w:space="0" w:color="auto"/>
      </w:divBdr>
    </w:div>
    <w:div w:id="411202601">
      <w:bodyDiv w:val="1"/>
      <w:marLeft w:val="0"/>
      <w:marRight w:val="0"/>
      <w:marTop w:val="0"/>
      <w:marBottom w:val="0"/>
      <w:divBdr>
        <w:top w:val="none" w:sz="0" w:space="0" w:color="auto"/>
        <w:left w:val="none" w:sz="0" w:space="0" w:color="auto"/>
        <w:bottom w:val="none" w:sz="0" w:space="0" w:color="auto"/>
        <w:right w:val="none" w:sz="0" w:space="0" w:color="auto"/>
      </w:divBdr>
    </w:div>
    <w:div w:id="962998249">
      <w:bodyDiv w:val="1"/>
      <w:marLeft w:val="0"/>
      <w:marRight w:val="0"/>
      <w:marTop w:val="0"/>
      <w:marBottom w:val="0"/>
      <w:divBdr>
        <w:top w:val="none" w:sz="0" w:space="0" w:color="auto"/>
        <w:left w:val="none" w:sz="0" w:space="0" w:color="auto"/>
        <w:bottom w:val="none" w:sz="0" w:space="0" w:color="auto"/>
        <w:right w:val="none" w:sz="0" w:space="0" w:color="auto"/>
      </w:divBdr>
    </w:div>
    <w:div w:id="993920513">
      <w:bodyDiv w:val="1"/>
      <w:marLeft w:val="0"/>
      <w:marRight w:val="0"/>
      <w:marTop w:val="0"/>
      <w:marBottom w:val="0"/>
      <w:divBdr>
        <w:top w:val="none" w:sz="0" w:space="0" w:color="auto"/>
        <w:left w:val="none" w:sz="0" w:space="0" w:color="auto"/>
        <w:bottom w:val="none" w:sz="0" w:space="0" w:color="auto"/>
        <w:right w:val="none" w:sz="0" w:space="0" w:color="auto"/>
      </w:divBdr>
    </w:div>
    <w:div w:id="1007026836">
      <w:bodyDiv w:val="1"/>
      <w:marLeft w:val="0"/>
      <w:marRight w:val="0"/>
      <w:marTop w:val="0"/>
      <w:marBottom w:val="0"/>
      <w:divBdr>
        <w:top w:val="none" w:sz="0" w:space="0" w:color="auto"/>
        <w:left w:val="none" w:sz="0" w:space="0" w:color="auto"/>
        <w:bottom w:val="none" w:sz="0" w:space="0" w:color="auto"/>
        <w:right w:val="none" w:sz="0" w:space="0" w:color="auto"/>
      </w:divBdr>
    </w:div>
    <w:div w:id="1832796014">
      <w:bodyDiv w:val="1"/>
      <w:marLeft w:val="0"/>
      <w:marRight w:val="0"/>
      <w:marTop w:val="0"/>
      <w:marBottom w:val="0"/>
      <w:divBdr>
        <w:top w:val="none" w:sz="0" w:space="0" w:color="auto"/>
        <w:left w:val="none" w:sz="0" w:space="0" w:color="auto"/>
        <w:bottom w:val="none" w:sz="0" w:space="0" w:color="auto"/>
        <w:right w:val="none" w:sz="0" w:space="0" w:color="auto"/>
      </w:divBdr>
      <w:divsChild>
        <w:div w:id="105855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554982">
      <w:bodyDiv w:val="1"/>
      <w:marLeft w:val="0"/>
      <w:marRight w:val="0"/>
      <w:marTop w:val="0"/>
      <w:marBottom w:val="0"/>
      <w:divBdr>
        <w:top w:val="none" w:sz="0" w:space="0" w:color="auto"/>
        <w:left w:val="none" w:sz="0" w:space="0" w:color="auto"/>
        <w:bottom w:val="none" w:sz="0" w:space="0" w:color="auto"/>
        <w:right w:val="none" w:sz="0" w:space="0" w:color="auto"/>
      </w:divBdr>
      <w:divsChild>
        <w:div w:id="802624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1437</Words>
  <Characters>8191</Characters>
  <Application>Microsoft Office Word</Application>
  <DocSecurity>0</DocSecurity>
  <Lines>68</Lines>
  <Paragraphs>19</Paragraphs>
  <ScaleCrop>false</ScaleCrop>
  <Company/>
  <LinksUpToDate>false</LinksUpToDate>
  <CharactersWithSpaces>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Малиновцев</dc:creator>
  <cp:keywords/>
  <dc:description/>
  <cp:lastModifiedBy>Иван Малиновцев</cp:lastModifiedBy>
  <cp:revision>25</cp:revision>
  <dcterms:created xsi:type="dcterms:W3CDTF">2025-06-15T07:26:00Z</dcterms:created>
  <dcterms:modified xsi:type="dcterms:W3CDTF">2025-06-15T08:10:00Z</dcterms:modified>
</cp:coreProperties>
</file>