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mbria" w:hAnsi="Cambria" w:eastAsia="Cambria"/>
          <w:b/>
          <w:color w:val="1F3864"/>
          <w:sz w:val="32"/>
        </w:rPr>
        <w:t>POLICY POSITION PAPER: Let the Agent In — A Governed Framework for Agentic AI in Uganda’s Justice Sector</w:t>
      </w:r>
    </w:p>
    <w:p>
      <w:pPr>
        <w:spacing w:after="360"/>
        <w:jc w:val="center"/>
      </w:pPr>
      <w:r>
        <w:rPr>
          <w:rFonts w:ascii="Cambria" w:hAnsi="Cambria" w:eastAsia="Cambria"/>
          <w:color w:val="555555"/>
          <w:sz w:val="24"/>
        </w:rPr>
        <w:t>Prepared for the Judiciary of Uganda, the Ministry of Justice and Constitutional Affairs, and the Justice, Law and Order Sector  •  August 2026</w:t>
      </w:r>
    </w:p>
    <w:p>
      <w:pPr>
        <w:pStyle w:val="Heading1"/>
      </w:pPr>
      <w:r>
        <w:t>Executive Summary</w:t>
      </w:r>
    </w:p>
    <w:p>
      <w:pPr>
        <w:jc w:val="both"/>
      </w:pPr>
      <w:r>
        <w:rPr>
          <w:rFonts w:ascii="Cambria" w:hAnsi="Cambria" w:eastAsia="Cambria"/>
          <w:sz w:val="24"/>
        </w:rPr>
        <w:t>Artificial intelligence is already operating in Uganda’s legal and judicial sector, largely through general-purpose consumer tools such as ChatGPT, adopted without a formal Judiciary programme, professional standards, procurement safeguards, audit trails, or binding rules governing confidential client and court information. The question is therefore no longer whether AI will enter the justice sector — it already has. It is whether Uganda will continue relying on tools that were never designed for its legal system, or build a secure, accountable, jurisdiction-specific framework for agentic AI in Ugandan law and justice.</w:t>
      </w:r>
    </w:p>
    <w:p>
      <w:pPr>
        <w:jc w:val="both"/>
      </w:pPr>
      <w:r>
        <w:rPr>
          <w:rFonts w:ascii="Cambria" w:hAnsi="Cambria" w:eastAsia="Cambria"/>
          <w:sz w:val="24"/>
        </w:rPr>
        <w:t>This brief proposes a governed framework built on four pillars: verified sources to address hallucination; a controlled data architecture to protect confidentiality; a three-tier authorisation model (assisted, supervised, restricted) to prevent systems exceeding their authority; and an absolute boundary under which judicial reasoning and decision-making remain human. It sets out the comparative experience of the United Kingdom, the United States and China, argues that national coordination rather than firm-level adoption is required, and recommends that the Judiciary, Government and the legal profession establish a joint pilot framework before informal adoption becomes impossible to govern.</w:t>
      </w:r>
    </w:p>
    <w:p>
      <w:pPr>
        <w:pStyle w:val="Heading1"/>
      </w:pPr>
      <w:r>
        <w:t>1. Statement of the Problem</w:t>
      </w:r>
    </w:p>
    <w:p>
      <w:pPr>
        <w:pStyle w:val="Heading2"/>
      </w:pPr>
      <w:r>
        <w:t>1.1 Adoption is already happening without a governance framework</w:t>
      </w:r>
    </w:p>
    <w:p>
      <w:pPr>
        <w:jc w:val="both"/>
      </w:pPr>
      <w:r>
        <w:rPr>
          <w:rFonts w:ascii="Cambria" w:hAnsi="Cambria" w:eastAsia="Cambria"/>
          <w:sz w:val="24"/>
        </w:rPr>
        <w:t>AI is already being used in Uganda’s legal and judicial sector, largely through consumer tools such as ChatGPT. Much of this adoption has taken place without a formal Judiciary programme, professional standards, procurement safeguards, audit trails or clear rules governing confidential client and court information. Uganda does not yet have reliable published statistics measuring how widely lawyers and judicial officers use AI, or how often AI-related errors occur in the justice sector. That limitation matters: international evidence should not be presented as if it were evidence about Uganda. It does, however, indicate the risks Uganda should anticipate as adoption grows.</w:t>
      </w:r>
    </w:p>
    <w:p>
      <w:pPr>
        <w:pStyle w:val="Heading2"/>
      </w:pPr>
      <w:r>
        <w:t>1.2 The risks are real and already documented</w:t>
      </w:r>
    </w:p>
    <w:p>
      <w:pPr>
        <w:jc w:val="both"/>
      </w:pPr>
      <w:r>
        <w:rPr>
          <w:rFonts w:ascii="Cambria" w:hAnsi="Cambria" w:eastAsia="Cambria"/>
          <w:sz w:val="24"/>
        </w:rPr>
        <w:t>The risks associated with artificial intelligence in justice are real. Hallucinated authorities, confidentiality breaches, unreliable legal analysis and inappropriate automation can all cause serious harm, and lawyers and judicial officers are already encountering them. A 2024 Stanford study found hallucination rates of 58% to 88% in general-purpose models tested on hundreds of thousands of verifiable legal questions. A subsequent Stanford RegLab study found hallucination rates of about 43% for a general-purpose model compared with 17% for the best-performing legal-specific tool. In 2025, researchers documented more than 200 cases of AI-fabricated citations reaching judges, resulting in at least 66 sanctions. The lesson is not that AI cannot support legal work; it is that a general-purpose model should not be treated as a legal authority simply because it produces a confident answer.</w:t>
      </w:r>
    </w:p>
    <w:p>
      <w:pPr>
        <w:jc w:val="both"/>
      </w:pPr>
      <w:r>
        <w:rPr>
          <w:rFonts w:ascii="Cambria" w:hAnsi="Cambria" w:eastAsia="Cambria"/>
          <w:sz w:val="24"/>
        </w:rPr>
        <w:t>Confidentiality presents a similar problem. Consumer AI platforms may process conversations for model improvement depending on product, account type and settings. A lawyer who enters client information without understanding or controlling those settings may expose confidential or personal information beyond the intended legal relationship, engaging obligations under Regulation 7 of the Advocates (Professional Conduct) Regulations and the Data Protection and Privacy Act, No. 9 of 2019, particularly in relation to confidentiality, purpose limitation and lawful processing.</w:t>
      </w:r>
    </w:p>
    <w:p>
      <w:pPr>
        <w:pStyle w:val="Heading2"/>
      </w:pPr>
      <w:r>
        <w:t>1.3 The choice is not whether, but how</w:t>
      </w:r>
    </w:p>
    <w:p>
      <w:pPr>
        <w:jc w:val="both"/>
      </w:pPr>
      <w:r>
        <w:rPr>
          <w:rFonts w:ascii="Cambria" w:hAnsi="Cambria" w:eastAsia="Cambria"/>
          <w:sz w:val="24"/>
        </w:rPr>
        <w:t>The problem for Uganda is not the existence of AI but the manner in which it is already being introduced. The country can either continue with informal use of general-purpose consumer tools, or begin building systems that are verified, secure and designed around Ugandan law.</w:t>
      </w:r>
    </w:p>
    <w:p>
      <w:pPr>
        <w:pStyle w:val="Heading1"/>
      </w:pPr>
      <w:r>
        <w:t>2. Why Agentic AI Matters</w:t>
      </w:r>
    </w:p>
    <w:p>
      <w:pPr>
        <w:pStyle w:val="Heading2"/>
      </w:pPr>
      <w:r>
        <w:t>2.1 A chatbot and an agent are different things</w:t>
      </w:r>
    </w:p>
    <w:p>
      <w:pPr>
        <w:jc w:val="both"/>
      </w:pPr>
      <w:r>
        <w:rPr>
          <w:rFonts w:ascii="Cambria" w:hAnsi="Cambria" w:eastAsia="Cambria"/>
          <w:sz w:val="24"/>
        </w:rPr>
        <w:t>The principal objections to AI in the justice sector are well founded: the risk of hallucination, exposure of confidential information, action beyond granted authority, unreliable legal analysis, and the possibility that a machine could begin to influence reasoning that must remain the responsibility of a judge or advocate. The question is whether these risks are arguments against AI itself, or arguments for designing and governing AI differently.</w:t>
      </w:r>
    </w:p>
    <w:p>
      <w:pPr>
        <w:jc w:val="both"/>
      </w:pPr>
      <w:r>
        <w:rPr>
          <w:rFonts w:ascii="Cambria" w:hAnsi="Cambria" w:eastAsia="Cambria"/>
          <w:sz w:val="24"/>
        </w:rPr>
        <w:t>An agentic system is not simply a more sophisticated chatbot. It can be given a defined objective, retrieve information from approved sources, perform limited authorised tasks, and refer matters requiring human judgment back to a human. In a legal environment it should not simply claim to know the law; it should retrieve the relevant law, identify its sources and show the basis for its output.</w:t>
      </w:r>
    </w:p>
    <w:p>
      <w:pPr>
        <w:pStyle w:val="Heading2"/>
      </w:pPr>
      <w:r>
        <w:t>2.2 A practical test for any proposal</w:t>
      </w:r>
    </w:p>
    <w:p>
      <w:pPr>
        <w:jc w:val="both"/>
      </w:pPr>
      <w:r>
        <w:rPr>
          <w:rFonts w:ascii="Cambria" w:hAnsi="Cambria" w:eastAsia="Cambria"/>
          <w:sz w:val="24"/>
        </w:rPr>
        <w:t>If hallucination is the concern, how does the system reduce it? If confidentiality is the concern, how is information contained and protected? If unauthorised action is the concern, where does the system stop? And if judicial reasoning is the concern, what must AI never be permitted to do? These questions provide the framework for assessing whether AI is being introduced responsibly into Uganda’s justice system.</w:t>
      </w:r>
    </w:p>
    <w:p>
      <w:pPr>
        <w:pStyle w:val="Heading1"/>
      </w:pPr>
      <w:r>
        <w:t>3. A Governed Framework for Agentic AI</w:t>
      </w:r>
    </w:p>
    <w:p>
      <w:pPr>
        <w:pStyle w:val="Heading2"/>
      </w:pPr>
      <w:r>
        <w:t>3.1 Hallucination: verified sources and traceable authority</w:t>
      </w:r>
    </w:p>
    <w:p>
      <w:pPr>
        <w:jc w:val="both"/>
      </w:pPr>
      <w:r>
        <w:rPr>
          <w:rFonts w:ascii="Cambria" w:hAnsi="Cambria" w:eastAsia="Cambria"/>
          <w:sz w:val="24"/>
        </w:rPr>
        <w:t>A general-purpose model relies heavily on information contained in its training and can produce a legally plausible answer without having verified whether the proposition is correct. In a Ugandan land dispute, that can mean generating a convincing answer based on material that has nothing to do with Ugandan law. A legal agent designed for Uganda would work differently: it would retrieve information from a maintained and verified corpus containing the Constitution, the Judicature rules, Uganda Legal Information Institute case law and the Advocates regulations; identify the source of each proposition; and indicate whether the authority has been verified before presenting the answer. Where the system cannot establish the source of a proposition, it should flag the uncertainty or refuse to present it as settled law.</w:t>
      </w:r>
    </w:p>
    <w:p>
      <w:pPr>
        <w:jc w:val="both"/>
      </w:pPr>
      <w:r>
        <w:rPr>
          <w:rFonts w:ascii="Cambria" w:hAnsi="Cambria" w:eastAsia="Cambria"/>
          <w:sz w:val="24"/>
        </w:rPr>
        <w:t>The Stanford research is important here because it shows that architecture matters: purpose-built legal research systems can outperform general-purpose models on legal queries, and a Ugandan system grounded in verified sources should be designed around the same principle. The objective is not to promise an AI system that never makes a mistake — that would be unrealistic. It is to make unsupported legal assertions harder to produce and easier for a human to identify.</w:t>
      </w:r>
    </w:p>
    <w:p>
      <w:pPr>
        <w:pStyle w:val="Heading2"/>
      </w:pPr>
      <w:r>
        <w:t>3.2 Confidentiality: a controlled data architecture</w:t>
      </w:r>
    </w:p>
    <w:p>
      <w:pPr>
        <w:jc w:val="both"/>
      </w:pPr>
      <w:r>
        <w:rPr>
          <w:rFonts w:ascii="Cambria" w:hAnsi="Cambria" w:eastAsia="Cambria"/>
          <w:sz w:val="24"/>
        </w:rPr>
        <w:t>Confidentiality is perhaps the most immediate legal issue because it can be addressed through system design. A properly governed legal AI deployment should require, at a minimum:</w:t>
      </w:r>
    </w:p>
    <w:p>
      <w:pPr>
        <w:ind w:left="283"/>
        <w:jc w:val="both"/>
      </w:pPr>
      <w:r>
        <w:rPr>
          <w:rFonts w:ascii="Cambria" w:hAnsi="Cambria" w:eastAsia="Cambria"/>
          <w:b/>
          <w:sz w:val="24"/>
        </w:rPr>
        <w:t>No training on client data.</w:t>
      </w:r>
      <w:r>
        <w:rPr>
          <w:rFonts w:ascii="Cambria" w:hAnsi="Cambria" w:eastAsia="Cambria"/>
          <w:sz w:val="24"/>
        </w:rPr>
        <w:t xml:space="preserve"> This should be established through contractual and technical controls rather than left to the individual user to discover in an account setting.</w:t>
      </w:r>
    </w:p>
    <w:p>
      <w:pPr>
        <w:ind w:left="283"/>
        <w:jc w:val="both"/>
      </w:pPr>
      <w:r>
        <w:rPr>
          <w:rFonts w:ascii="Cambria" w:hAnsi="Cambria" w:eastAsia="Cambria"/>
          <w:b/>
          <w:sz w:val="24"/>
        </w:rPr>
        <w:t>Data isolation by matter and institution.</w:t>
      </w:r>
      <w:r>
        <w:rPr>
          <w:rFonts w:ascii="Cambria" w:hAnsi="Cambria" w:eastAsia="Cambria"/>
          <w:sz w:val="24"/>
        </w:rPr>
        <w:t xml:space="preserve"> Information belonging to one client, chambers or court registry should not become available to another matter or institution.</w:t>
      </w:r>
    </w:p>
    <w:p>
      <w:pPr>
        <w:ind w:left="283"/>
        <w:jc w:val="both"/>
      </w:pPr>
      <w:r>
        <w:rPr>
          <w:rFonts w:ascii="Cambria" w:hAnsi="Cambria" w:eastAsia="Cambria"/>
          <w:b/>
          <w:sz w:val="24"/>
        </w:rPr>
        <w:t>Sovereign or controlled hosting.</w:t>
      </w:r>
      <w:r>
        <w:rPr>
          <w:rFonts w:ascii="Cambria" w:hAnsi="Cambria" w:eastAsia="Cambria"/>
          <w:sz w:val="24"/>
        </w:rPr>
        <w:t xml:space="preserve"> Systems handling sensitive court and litigant information should operate on infrastructure subject to appropriate Ugandan legal and institutional control.</w:t>
      </w:r>
    </w:p>
    <w:p>
      <w:pPr>
        <w:ind w:left="283"/>
        <w:jc w:val="both"/>
      </w:pPr>
      <w:r>
        <w:rPr>
          <w:rFonts w:ascii="Cambria" w:hAnsi="Cambria" w:eastAsia="Cambria"/>
          <w:b/>
          <w:sz w:val="24"/>
        </w:rPr>
        <w:t>Immutable audit logs.</w:t>
      </w:r>
      <w:r>
        <w:rPr>
          <w:rFonts w:ascii="Cambria" w:hAnsi="Cambria" w:eastAsia="Cambria"/>
          <w:sz w:val="24"/>
        </w:rPr>
        <w:t xml:space="preserve"> Material retrievals and system actions should be recorded so that an institution can establish what the system accessed, what it produced and what happened afterwards.</w:t>
      </w:r>
    </w:p>
    <w:p>
      <w:pPr>
        <w:jc w:val="both"/>
      </w:pPr>
      <w:r>
        <w:rPr>
          <w:rFonts w:ascii="Cambria" w:hAnsi="Cambria" w:eastAsia="Cambria"/>
          <w:sz w:val="24"/>
        </w:rPr>
        <w:t>These are not futuristic requirements; they are features of institutional technology that can be specified through procurement and governance requirements. The law already places duties on advocates and data controllers. The challenge is ensuring that the technology used in legal practice does not undermine those duties.</w:t>
      </w:r>
    </w:p>
    <w:p>
      <w:pPr>
        <w:pStyle w:val="Heading2"/>
      </w:pPr>
      <w:r>
        <w:t>3.3 Authority: a three-tier authorisation model</w:t>
      </w:r>
    </w:p>
    <w:p>
      <w:pPr>
        <w:jc w:val="both"/>
      </w:pPr>
      <w:r>
        <w:rPr>
          <w:rFonts w:ascii="Cambria" w:hAnsi="Cambria" w:eastAsia="Cambria"/>
          <w:sz w:val="24"/>
        </w:rPr>
        <w:t>An advocate acts on instructions from a client. A judicial officer exercises authority conferred by law. An AI system has neither authority of its own; it must operate within authority that has been defined and delegated by a responsible human. This is why agentic cannot mean autonomous in the justice sector. A practical model could have three levels:</w:t>
      </w:r>
    </w:p>
    <w:p>
      <w:pPr>
        <w:ind w:left="283"/>
        <w:jc w:val="both"/>
      </w:pPr>
      <w:r>
        <w:rPr>
          <w:rFonts w:ascii="Cambria" w:hAnsi="Cambria" w:eastAsia="Cambria"/>
          <w:b/>
          <w:sz w:val="24"/>
        </w:rPr>
        <w:t>Tier A — Assisted.</w:t>
      </w:r>
      <w:r>
        <w:rPr>
          <w:rFonts w:ascii="Cambria" w:hAnsi="Cambria" w:eastAsia="Cambria"/>
          <w:sz w:val="24"/>
        </w:rPr>
        <w:t xml:space="preserve"> The system drafts, summarises or transcribes. A human reviews the output before it is relied upon.</w:t>
      </w:r>
    </w:p>
    <w:p>
      <w:pPr>
        <w:ind w:left="283"/>
        <w:jc w:val="both"/>
      </w:pPr>
      <w:r>
        <w:rPr>
          <w:rFonts w:ascii="Cambria" w:hAnsi="Cambria" w:eastAsia="Cambria"/>
          <w:b/>
          <w:sz w:val="24"/>
        </w:rPr>
        <w:t>Tier B — Supervised.</w:t>
      </w:r>
      <w:r>
        <w:rPr>
          <w:rFonts w:ascii="Cambria" w:hAnsi="Cambria" w:eastAsia="Cambria"/>
          <w:sz w:val="24"/>
        </w:rPr>
        <w:t xml:space="preserve"> The system may perform a defined action after approval by a named and accountable human. The action should be reversible or fully logged.</w:t>
      </w:r>
    </w:p>
    <w:p>
      <w:pPr>
        <w:ind w:left="283"/>
        <w:jc w:val="both"/>
      </w:pPr>
      <w:r>
        <w:rPr>
          <w:rFonts w:ascii="Cambria" w:hAnsi="Cambria" w:eastAsia="Cambria"/>
          <w:b/>
          <w:sz w:val="24"/>
        </w:rPr>
        <w:t>Tier C — Restricted.</w:t>
      </w:r>
      <w:r>
        <w:rPr>
          <w:rFonts w:ascii="Cambria" w:hAnsi="Cambria" w:eastAsia="Cambria"/>
          <w:sz w:val="24"/>
        </w:rPr>
        <w:t xml:space="preserve"> The system is confined to narrow tasks with strong safeguards, and is expressly barred from matters affecting the merits of a case, bail, sentencing, settlement authority or waiver of a legal right.</w:t>
      </w:r>
    </w:p>
    <w:p>
      <w:pPr>
        <w:jc w:val="both"/>
      </w:pPr>
      <w:r>
        <w:rPr>
          <w:rFonts w:ascii="Cambria" w:hAnsi="Cambria" w:eastAsia="Cambria"/>
          <w:sz w:val="24"/>
        </w:rPr>
        <w:t>This approach does not eliminate professional responsibility; it makes responsibility easier to trace. A material action can have a record showing what the system did, when it did it, and which person authorised it — an important improvement over an environment in which a lawyer may rely on an AI-generated answer without any institutional record of how it was produced or verified.</w:t>
      </w:r>
    </w:p>
    <w:p>
      <w:pPr>
        <w:pStyle w:val="Heading2"/>
      </w:pPr>
      <w:r>
        <w:t>3.4 The absolute boundary: reasoning is not automatable</w:t>
      </w:r>
    </w:p>
    <w:p>
      <w:pPr>
        <w:jc w:val="both"/>
      </w:pPr>
      <w:r>
        <w:rPr>
          <w:rFonts w:ascii="Cambria" w:hAnsi="Cambria" w:eastAsia="Cambria"/>
          <w:sz w:val="24"/>
        </w:rPr>
        <w:t>Judicial reasoning must remain human. The weighing of evidence, application of law to disputed facts, exercise of judicial discretion and assessment of credibility are not administrative tasks; they are exercises of judicial authority. A judge’s reasoning is not simply a text-generation exercise; it is an exercise of public power by a person who is constitutionally accountable, subject to appeal and required to give reasons for the decision. An AI system has no equivalent accountability. No framework for AI in the justice sector should therefore permit a machine to determine the merits of a case, make the judicial decision, or substitute its reasoning for the independent judgment of the judicial officer. This boundary should be established at the beginning, not after a system has already been deployed.</w:t>
      </w:r>
    </w:p>
    <w:p>
      <w:pPr>
        <w:pStyle w:val="Heading1"/>
      </w:pPr>
      <w:r>
        <w:t>4. What Should Be Automated</w:t>
      </w:r>
    </w:p>
    <w:p>
      <w:pPr>
        <w:jc w:val="both"/>
      </w:pPr>
      <w:r>
        <w:rPr>
          <w:rFonts w:ascii="Cambria" w:hAnsi="Cambria" w:eastAsia="Cambria"/>
          <w:sz w:val="24"/>
        </w:rPr>
        <w:t>Once that boundary is accepted, another question becomes possible: what work can safely be automated around the reasoning? A judicial officer does not spend every minute of a hearing exercising judicial reasoning; time is also spent listening to submissions, recording proceedings, identifying exhibits, tracking authorities, reconstructing procedural history and preparing material that largely restates what has already happened in court. There is no obvious reason why all of that surrounding work must continue to be performed manually. A workable division of labour could look like this:</w:t>
      </w:r>
    </w:p>
    <w:p>
      <w:pPr>
        <w:ind w:left="283"/>
        <w:jc w:val="both"/>
      </w:pPr>
      <w:r>
        <w:rPr>
          <w:rFonts w:ascii="Cambria" w:hAnsi="Cambria" w:eastAsia="Cambria"/>
          <w:b/>
          <w:sz w:val="24"/>
        </w:rPr>
        <w:t>The court records what was said.</w:t>
      </w:r>
      <w:r>
        <w:rPr>
          <w:rFonts w:ascii="Cambria" w:hAnsi="Cambria" w:eastAsia="Cambria"/>
          <w:sz w:val="24"/>
        </w:rPr>
        <w:t xml:space="preserve"> Submissions, testimony and exchanges can be transcribed accurately and made searchable.</w:t>
      </w:r>
    </w:p>
    <w:p>
      <w:pPr>
        <w:ind w:left="283"/>
        <w:jc w:val="both"/>
      </w:pPr>
      <w:r>
        <w:rPr>
          <w:rFonts w:ascii="Cambria" w:hAnsi="Cambria" w:eastAsia="Cambria"/>
          <w:b/>
          <w:sz w:val="24"/>
        </w:rPr>
        <w:t>The system prepares the drafting scaffold.</w:t>
      </w:r>
      <w:r>
        <w:rPr>
          <w:rFonts w:ascii="Cambria" w:hAnsi="Cambria" w:eastAsia="Cambria"/>
          <w:sz w:val="24"/>
        </w:rPr>
        <w:t xml:space="preserve"> The procedural history, parties’ positions, exhibits and authorities referred to on the record can be assembled into a structured draft.</w:t>
      </w:r>
    </w:p>
    <w:p>
      <w:pPr>
        <w:ind w:left="283"/>
        <w:jc w:val="both"/>
      </w:pPr>
      <w:r>
        <w:rPr>
          <w:rFonts w:ascii="Cambria" w:hAnsi="Cambria" w:eastAsia="Cambria"/>
          <w:b/>
          <w:sz w:val="24"/>
        </w:rPr>
        <w:t>The judge supplies the reasoning.</w:t>
      </w:r>
      <w:r>
        <w:rPr>
          <w:rFonts w:ascii="Cambria" w:hAnsi="Cambria" w:eastAsia="Cambria"/>
          <w:sz w:val="24"/>
        </w:rPr>
        <w:t xml:space="preserve"> In an ex tempore ruling, the judicial officer can record the determination and reasons in their own words.</w:t>
      </w:r>
    </w:p>
    <w:p>
      <w:pPr>
        <w:ind w:left="283"/>
        <w:jc w:val="both"/>
      </w:pPr>
      <w:r>
        <w:rPr>
          <w:rFonts w:ascii="Cambria" w:hAnsi="Cambria" w:eastAsia="Cambria"/>
          <w:b/>
          <w:sz w:val="24"/>
        </w:rPr>
        <w:t>The judge reviews and endorses the whole.</w:t>
      </w:r>
      <w:r>
        <w:rPr>
          <w:rFonts w:ascii="Cambria" w:hAnsi="Cambria" w:eastAsia="Cambria"/>
          <w:sz w:val="24"/>
        </w:rPr>
        <w:t xml:space="preserve"> Nothing should leave the court under a judge’s name without the judge reading it, correcting it and approving it.</w:t>
      </w:r>
    </w:p>
    <w:p>
      <w:pPr>
        <w:jc w:val="both"/>
      </w:pPr>
      <w:r>
        <w:rPr>
          <w:rFonts w:ascii="Cambria" w:hAnsi="Cambria" w:eastAsia="Cambria"/>
          <w:sz w:val="24"/>
        </w:rPr>
        <w:t>The principle is straightforward: automate the record and the mechanical work around the decision; keep the decision itself with the judge.</w:t>
      </w:r>
    </w:p>
    <w:p>
      <w:pPr>
        <w:pStyle w:val="Heading1"/>
      </w:pPr>
      <w:r>
        <w:t>5. Comparative Experience</w:t>
      </w:r>
    </w:p>
    <w:p>
      <w:pPr>
        <w:jc w:val="both"/>
      </w:pPr>
      <w:r>
        <w:rPr>
          <w:rFonts w:ascii="Cambria" w:hAnsi="Cambria" w:eastAsia="Cambria"/>
          <w:sz w:val="24"/>
        </w:rPr>
        <w:t>Uganda would not be starting from a blank page. Other jurisdictions have already begun confronting the same question, although their legal systems and institutional arrangements are different.</w:t>
      </w:r>
    </w:p>
    <w:p>
      <w:pPr>
        <w:pStyle w:val="Heading2"/>
      </w:pPr>
      <w:r>
        <w:t>5.1 United Kingdom</w:t>
      </w:r>
    </w:p>
    <w:p>
      <w:pPr>
        <w:jc w:val="both"/>
      </w:pPr>
      <w:r>
        <w:rPr>
          <w:rFonts w:ascii="Cambria" w:hAnsi="Cambria" w:eastAsia="Cambria"/>
          <w:sz w:val="24"/>
        </w:rPr>
        <w:t>The United Kingdom provides a clear example of the distinction between AI as a support tool and AI as a substitute for judicial reasoning. Its 2025 guidance for judicial office holders permits limited administrative and supporting uses, including proofreading draft opinions, checking legal submissions, preparing standard notices, assisting with scheduling and producing unofficial transcripts. The responsibility for the reasoning and final decision remains with the judge. The lesson for Uganda is not to copy the framework word for word; it is to recognise that judicial AI governance can permit useful administrative assistance without delegating judicial responsibility.</w:t>
      </w:r>
    </w:p>
    <w:p>
      <w:pPr>
        <w:pStyle w:val="Heading2"/>
      </w:pPr>
      <w:r>
        <w:t>5.2 United States</w:t>
      </w:r>
    </w:p>
    <w:p>
      <w:pPr>
        <w:jc w:val="both"/>
      </w:pPr>
      <w:r>
        <w:rPr>
          <w:rFonts w:ascii="Cambria" w:hAnsi="Cambria" w:eastAsia="Cambria"/>
          <w:sz w:val="24"/>
        </w:rPr>
        <w:t>The United States demonstrates what can happen when adoption moves faster than institutional preparation. A 2026 Northwestern University survey found that more than 60 percent of responding federal judges were already using AI in chambers, mainly for legal research and document review, while nearly half reported receiving no AI training from their courts. In October 2025, a federal judge’s chambers had to explain that an unauthorised use of ChatGPT by a law student had produced an erroneous draft opinion that was released and subsequently withdrawn. The response has increasingly focused on distinguishing administrative uses — scheduling, transcription, document organisation and workload analysis — from the core judicial functions of reasoning and decision-making; Congress has also begun examining oversight of AI transcription tools in federal courts. The lesson is familiar: the administrative layer presents substantial opportunities, while weak governance creates avoidable risks.</w:t>
      </w:r>
    </w:p>
    <w:p>
      <w:pPr>
        <w:pStyle w:val="Heading2"/>
      </w:pPr>
      <w:r>
        <w:t>5.3 China</w:t>
      </w:r>
    </w:p>
    <w:p>
      <w:pPr>
        <w:jc w:val="both"/>
      </w:pPr>
      <w:r>
        <w:rPr>
          <w:rFonts w:ascii="Cambria" w:hAnsi="Cambria" w:eastAsia="Cambria"/>
          <w:sz w:val="24"/>
        </w:rPr>
        <w:t>China offers the most aggressive example, but also an important caution. Its courts have adopted AI extensively for case filing, evidence organisation, scheduling and aspects of judgment drafting, yet the Supreme People’s Court maintains a clear boundary: AI may support judges, but it cannot replace judges in deciding cases. China should not be copied wholesale — its judicial structure, oversight mechanisms and data-governance arrangements differ substantially from Uganda’s — but its experience nevertheless demonstrates that even an aggressively automated judicial system can maintain the distinction between technological assistance and judicial determination.</w:t>
      </w:r>
    </w:p>
    <w:p>
      <w:pPr>
        <w:jc w:val="both"/>
      </w:pPr>
      <w:r>
        <w:rPr>
          <w:rFonts w:ascii="Cambria" w:hAnsi="Cambria" w:eastAsia="Cambria"/>
          <w:sz w:val="24"/>
        </w:rPr>
        <w:t>Across these jurisdictions the institutional details differ, but one principle repeatedly appears: AI can assist with the record and administrative work, while responsibility for judicial reasoning remains with the human decision-maker.</w:t>
      </w:r>
    </w:p>
    <w:p>
      <w:pPr>
        <w:pStyle w:val="Heading1"/>
      </w:pPr>
      <w:r>
        <w:t>6. Why a National, Coordinated Effort Is Required</w:t>
      </w:r>
    </w:p>
    <w:p>
      <w:pPr>
        <w:jc w:val="both"/>
      </w:pPr>
      <w:r>
        <w:rPr>
          <w:rFonts w:ascii="Cambria" w:hAnsi="Cambria" w:eastAsia="Cambria"/>
          <w:sz w:val="24"/>
        </w:rPr>
        <w:t>Individual law firms adopting AI tools, or a builder developing a multimodal legal agent, cannot solve this problem on their own. The reason is structural: no single firm has the data, authority or institutional leverage required to build the infrastructure for trustworthy legal AI at national scale. A private firm can subscribe to an AI product; it cannot determine national standards for handling court data, assemble the authoritative corpus of Ugandan law, establish a common audit standard, or create the institutional authority necessary for a Judiciary-wide deployment. The information needed is distributed across the Judiciary, the Uganda Law Society, government registries and other institutions, and includes published judgments as well as relevant procedural and case-management information. That is why AI adoption in the justice sector should be treated as a coordinated national effort:</w:t>
      </w:r>
    </w:p>
    <w:p>
      <w:pPr>
        <w:ind w:left="283"/>
        <w:jc w:val="both"/>
      </w:pPr>
      <w:r>
        <w:rPr>
          <w:rFonts w:ascii="Cambria" w:hAnsi="Cambria" w:eastAsia="Cambria"/>
          <w:b/>
          <w:sz w:val="24"/>
        </w:rPr>
        <w:t>The Judiciary, the Ministry of Justice and Constitutional Affairs and the wider Justice, Law and Order Sector</w:t>
      </w:r>
      <w:r>
        <w:rPr>
          <w:rFonts w:ascii="Cambria" w:hAnsi="Cambria" w:eastAsia="Cambria"/>
          <w:sz w:val="24"/>
        </w:rPr>
        <w:t xml:space="preserve"> are best placed to establish the authoritative legal material against which systems can be trained and tested.</w:t>
      </w:r>
    </w:p>
    <w:p>
      <w:pPr>
        <w:ind w:left="283"/>
        <w:jc w:val="both"/>
      </w:pPr>
      <w:r>
        <w:rPr>
          <w:rFonts w:ascii="Cambria" w:hAnsi="Cambria" w:eastAsia="Cambria"/>
          <w:b/>
          <w:sz w:val="24"/>
        </w:rPr>
        <w:t>Government</w:t>
      </w:r>
      <w:r>
        <w:rPr>
          <w:rFonts w:ascii="Cambria" w:hAnsi="Cambria" w:eastAsia="Cambria"/>
          <w:sz w:val="24"/>
        </w:rPr>
        <w:t xml:space="preserve"> must play a central role in establishing standards for secure infrastructure capable of handling sensitive court and litigant information.</w:t>
      </w:r>
    </w:p>
    <w:p>
      <w:pPr>
        <w:ind w:left="283"/>
        <w:jc w:val="both"/>
      </w:pPr>
      <w:r>
        <w:rPr>
          <w:rFonts w:ascii="Cambria" w:hAnsi="Cambria" w:eastAsia="Cambria"/>
          <w:b/>
          <w:sz w:val="24"/>
        </w:rPr>
        <w:t>The Judiciary, government and the legal profession</w:t>
      </w:r>
      <w:r>
        <w:rPr>
          <w:rFonts w:ascii="Cambria" w:hAnsi="Cambria" w:eastAsia="Cambria"/>
          <w:sz w:val="24"/>
        </w:rPr>
        <w:t xml:space="preserve"> should establish a joint pilot framework defining human oversight, verification, audit logs and permitted uses.</w:t>
      </w:r>
    </w:p>
    <w:p>
      <w:pPr>
        <w:ind w:left="283"/>
        <w:jc w:val="both"/>
      </w:pPr>
      <w:r>
        <w:rPr>
          <w:rFonts w:ascii="Cambria" w:hAnsi="Cambria" w:eastAsia="Cambria"/>
          <w:b/>
          <w:sz w:val="24"/>
        </w:rPr>
        <w:t>The Uganda Law Council and the legal profession</w:t>
      </w:r>
      <w:r>
        <w:rPr>
          <w:rFonts w:ascii="Cambria" w:hAnsi="Cambria" w:eastAsia="Cambria"/>
          <w:sz w:val="24"/>
        </w:rPr>
        <w:t xml:space="preserve"> should translate existing professional obligations into practical standards governing AI use, including competence, confidentiality, verification and accountability.</w:t>
      </w:r>
    </w:p>
    <w:p>
      <w:pPr>
        <w:jc w:val="both"/>
      </w:pPr>
      <w:r>
        <w:rPr>
          <w:rFonts w:ascii="Cambria" w:hAnsi="Cambria" w:eastAsia="Cambria"/>
          <w:sz w:val="24"/>
        </w:rPr>
        <w:t>This does not mean excluding the private sector; quite the opposite. Private companies, law firms and independent builders should build, innovate and compete — but they should build on a national foundation of verified law, secure infrastructure, protected data and standards recognised by the institutions that will ultimately rely on those systems.</w:t>
      </w:r>
    </w:p>
    <w:p>
      <w:pPr>
        <w:pStyle w:val="Heading1"/>
      </w:pPr>
      <w:r>
        <w:t>7. A Proposed Architecture for Uganda</w:t>
      </w:r>
    </w:p>
    <w:p>
      <w:pPr>
        <w:jc w:val="both"/>
      </w:pPr>
      <w:r>
        <w:rPr>
          <w:rFonts w:ascii="Cambria" w:hAnsi="Cambria" w:eastAsia="Cambria"/>
          <w:sz w:val="24"/>
        </w:rPr>
        <w:t>Uganda does not necessarily need to begin with a massive national AI system. It could begin with a controlled institutional pilot built around clear responsibilities. The first objective should not be to automate everything; it should be to establish a safe environment in which the Judiciary can test what works, identify what fails, and develop standards before adoption becomes impossible to govern. Kenya’s Judiciary is developing an Artificial Intelligence Adoption Policy Framework centred on human oversight and verification, and the United Kingdom, the United States and China have each developed approaches that distinguish technological assistance from judicial determination. Uganda does not yet have an equivalent framework — yet the technology is already being used. Waiting for perfect policy before beginning the conversation is itself a policy choice.</w:t>
      </w:r>
    </w:p>
    <w:p>
      <w:pPr>
        <w:pStyle w:val="Heading1"/>
      </w:pPr>
      <w:r>
        <w:t>8. Recommendation</w:t>
      </w:r>
    </w:p>
    <w:p>
      <w:pPr>
        <w:jc w:val="both"/>
      </w:pPr>
      <w:r>
        <w:rPr>
          <w:rFonts w:ascii="Cambria" w:hAnsi="Cambria" w:eastAsia="Cambria"/>
          <w:sz w:val="24"/>
        </w:rPr>
        <w:t>The serious objections to generative and agentic artificial intelligence in Uganda’s justice sector should not be dismissed: hallucination requires verification; confidentiality requires a controlled data architecture; unauthorised action requires defined permissions and human oversight; unreliable legal analysis requires better sources and stronger verification; and judicial reasoning requires a firm boundary. The choice before the justice sector is therefore not artificial intelligence or no artificial intelligence — AI is already here. It is the choice between continuing with informal use of general-purpose consumer tools and building a secure, accountable, jurisdiction-specific system that records proceedings, assists with drafting, protects legal information, and stops where human judgment begins. Accordingly, the Judiciary, Government and the legal profession are asked to: (1) adopt the framework set out in Section 3, including the absolute boundary on judicial reasoning; (2) establish a joint pilot framework under the Judiciary and the Justice, Law and Order Sector defining human oversight, verification, audit logs and permitted uses, drawing on the Kenyan and United Kingdom models; (3) direct the Uganda Law Council to translate existing professional obligations into practical standards governing AI use; and (4) authorise a controlled institutional pilot that builds the verified corpus of Ugandan law and tests secure, sovereign hosting before any Judiciary-wide deployment. One of these paths is already happening. The other has to be built, and it can only be built together.</w:t>
      </w:r>
    </w:p>
    <w:p>
      <w:pPr>
        <w:pStyle w:val="Heading1"/>
      </w:pPr>
      <w:r>
        <w:t>Sources</w:t>
      </w:r>
    </w:p>
    <w:p>
      <w:pPr>
        <w:spacing w:after="80"/>
        <w:ind w:left="425" w:hanging="425"/>
        <w:jc w:val="both"/>
      </w:pPr>
      <w:r>
        <w:rPr>
          <w:rFonts w:ascii="Cambria" w:hAnsi="Cambria" w:eastAsia="Cambria"/>
          <w:sz w:val="20"/>
        </w:rPr>
        <w:t>Magesh, Surani, Dahl, Suzgun, Manning &amp; Ho, "Hallucination-Free? Assessing the Reliability of Leading AI Legal Research Tools," Journal of Empirical Legal Studies (2025), originally released as a preprint in May 2024.</w:t>
      </w:r>
    </w:p>
    <w:p>
      <w:pPr>
        <w:spacing w:after="80"/>
        <w:ind w:left="425" w:hanging="425"/>
        <w:jc w:val="both"/>
      </w:pPr>
      <w:r>
        <w:rPr>
          <w:rFonts w:ascii="Cambria" w:hAnsi="Cambria" w:eastAsia="Cambria"/>
          <w:sz w:val="20"/>
        </w:rPr>
        <w:t>Dahl, Magesh, Suzgun &amp; Ho, "Large Legal Fictions: Profiling Legal Hallucinations in Large Language Models" (2024).</w:t>
      </w:r>
    </w:p>
    <w:p>
      <w:pPr>
        <w:spacing w:after="80"/>
        <w:ind w:left="425" w:hanging="425"/>
        <w:jc w:val="both"/>
      </w:pPr>
      <w:r>
        <w:rPr>
          <w:rFonts w:ascii="Cambria" w:hAnsi="Cambria" w:eastAsia="Cambria"/>
          <w:sz w:val="20"/>
        </w:rPr>
        <w:t>Industry tracking of AI-citation sanctions via Kallam.ai (2026).</w:t>
      </w:r>
    </w:p>
    <w:p>
      <w:pPr>
        <w:spacing w:after="80"/>
        <w:ind w:left="425" w:hanging="425"/>
        <w:jc w:val="both"/>
      </w:pPr>
      <w:r>
        <w:rPr>
          <w:rFonts w:ascii="Cambria" w:hAnsi="Cambria" w:eastAsia="Cambria"/>
          <w:sz w:val="20"/>
        </w:rPr>
        <w:t>Consumer AI provider data-training policy comparisons as of 2026 (Strac, Sonomos, Privacy Watchdog).</w:t>
      </w:r>
    </w:p>
    <w:p>
      <w:pPr>
        <w:spacing w:after="80"/>
        <w:ind w:left="425" w:hanging="425"/>
        <w:jc w:val="both"/>
      </w:pPr>
      <w:r>
        <w:rPr>
          <w:rFonts w:ascii="Cambria" w:hAnsi="Cambria" w:eastAsia="Cambria"/>
          <w:sz w:val="20"/>
        </w:rPr>
        <w:t>Advocates (Professional Conduct) Regulations, S.I. 267-2, reg. 7.</w:t>
      </w:r>
    </w:p>
    <w:p>
      <w:pPr>
        <w:spacing w:after="80"/>
        <w:ind w:left="425" w:hanging="425"/>
        <w:jc w:val="both"/>
      </w:pPr>
      <w:r>
        <w:rPr>
          <w:rFonts w:ascii="Cambria" w:hAnsi="Cambria" w:eastAsia="Cambria"/>
          <w:sz w:val="20"/>
        </w:rPr>
        <w:t>Data Protection and Privacy Act, Cap 97.</w:t>
      </w:r>
    </w:p>
    <w:p>
      <w:pPr>
        <w:spacing w:after="80"/>
        <w:ind w:left="425" w:hanging="425"/>
        <w:jc w:val="both"/>
      </w:pPr>
      <w:r>
        <w:rPr>
          <w:rFonts w:ascii="Cambria" w:hAnsi="Cambria" w:eastAsia="Cambria"/>
          <w:sz w:val="20"/>
        </w:rPr>
        <w:t>Judicature (Electronic Filing, Service and Virtual Proceedings) Rules, 2025 (S.I. 2025/21).</w:t>
      </w:r>
    </w:p>
    <w:p>
      <w:pPr>
        <w:spacing w:after="80"/>
        <w:ind w:left="425" w:hanging="425"/>
        <w:jc w:val="both"/>
      </w:pPr>
      <w:r>
        <w:rPr>
          <w:rFonts w:ascii="Cambria" w:hAnsi="Cambria" w:eastAsia="Cambria"/>
          <w:sz w:val="20"/>
        </w:rPr>
        <w:t>Electronic Transactions, Cap 99.</w:t>
      </w:r>
    </w:p>
    <w:p>
      <w:pPr>
        <w:spacing w:after="80"/>
        <w:ind w:left="425" w:hanging="425"/>
        <w:jc w:val="both"/>
      </w:pPr>
      <w:r>
        <w:rPr>
          <w:rFonts w:ascii="Cambria" w:hAnsi="Cambria" w:eastAsia="Cambria"/>
          <w:sz w:val="20"/>
        </w:rPr>
        <w:t>Courts and Tribunals Judiciary (England &amp; Wales), "Artificial Intelligence (AI) Guidance for Judicial Office Holders" (October 2025).</w:t>
      </w:r>
    </w:p>
    <w:p>
      <w:pPr>
        <w:spacing w:after="80"/>
        <w:ind w:left="425" w:hanging="425"/>
        <w:jc w:val="both"/>
      </w:pPr>
      <w:r>
        <w:rPr>
          <w:rFonts w:ascii="Cambria" w:hAnsi="Cambria" w:eastAsia="Cambria"/>
          <w:sz w:val="20"/>
        </w:rPr>
        <w:t>R (Ayinde) v London Borough of Haringey [2025] EWHC 1383 (Admin).</w:t>
      </w:r>
    </w:p>
    <w:p>
      <w:pPr>
        <w:spacing w:after="80"/>
        <w:ind w:left="425" w:hanging="425"/>
        <w:jc w:val="both"/>
      </w:pPr>
      <w:r>
        <w:rPr>
          <w:rFonts w:ascii="Cambria" w:hAnsi="Cambria" w:eastAsia="Cambria"/>
          <w:sz w:val="20"/>
        </w:rPr>
        <w:t>Sedona Conference / Northwestern University survey of federal judges on AI use (March 2026).</w:t>
      </w:r>
    </w:p>
    <w:p>
      <w:pPr>
        <w:spacing w:after="80"/>
        <w:ind w:left="425" w:hanging="425"/>
        <w:jc w:val="both"/>
      </w:pPr>
      <w:r>
        <w:rPr>
          <w:rFonts w:ascii="Cambria" w:hAnsi="Cambria" w:eastAsia="Cambria"/>
          <w:sz w:val="20"/>
        </w:rPr>
        <w:t>"Research and Oversight of Artificial Intelligence (AI) in Courts Act of 2026," H.R. 7997 / S. 4154.</w:t>
      </w:r>
    </w:p>
    <w:p>
      <w:pPr>
        <w:spacing w:after="80"/>
        <w:ind w:left="425" w:hanging="425"/>
        <w:jc w:val="both"/>
      </w:pPr>
      <w:r>
        <w:rPr>
          <w:rFonts w:ascii="Cambria" w:hAnsi="Cambria" w:eastAsia="Cambria"/>
          <w:sz w:val="20"/>
        </w:rPr>
        <w:t>Supreme People's Court of China, "Opinions on Regulating and Strengthening the Application of Artificial Intelligence in Judicial Fields" (2022, target years 2025/2030).</w:t>
      </w:r>
    </w:p>
    <w:p>
      <w:pPr>
        <w:spacing w:after="80"/>
        <w:ind w:left="425" w:hanging="425"/>
        <w:jc w:val="both"/>
      </w:pPr>
      <w:r>
        <w:rPr>
          <w:rFonts w:ascii="Cambria" w:hAnsi="Cambria" w:eastAsia="Cambria"/>
          <w:sz w:val="20"/>
        </w:rPr>
        <w:t>CGTN reporting on Kunshan People's Court "digital court" pilot (November 2025).</w:t>
      </w:r>
    </w:p>
    <w:p>
      <w:pPr>
        <w:spacing w:before="360"/>
      </w:pPr>
      <w:r>
        <w:rPr>
          <w:rFonts w:ascii="Cambria" w:hAnsi="Cambria" w:eastAsia="Cambria"/>
        </w:rPr>
        <w:t xml:space="preserve">Prepared by </w:t>
      </w:r>
      <w:r>
        <w:rPr>
          <w:rFonts w:ascii="Cambria" w:hAnsi="Cambria" w:eastAsia="Cambria"/>
        </w:rPr>
        <w:t>Danson Twesigomwe LLB(Hons) MAK, Dip. LP LDC, Kampala.</w:t>
      </w:r>
    </w:p>
    <w:p>
      <w:r>
        <w:rPr>
          <w:rFonts w:ascii="Cambria" w:hAnsi="Cambria" w:eastAsia="Cambria"/>
          <w:b/>
        </w:rPr>
        <w:t>AI LAW &amp; DIGITAL SOVEREIGNTY RESEARCHER</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mbria" w:hAnsi="Cambria"/>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Cambria" w:hAnsi="Cambria" w:eastAsia="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mbria" w:hAnsi="Cambria" w:eastAsia="Cambria"/>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