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2850"/>
          <w:sz w:val="36"/>
        </w:rPr>
        <w:t>EXECUTIVE FELLOWSHIP IN</w:t>
        <w:br/>
        <w:t>AI LAW &amp; DIGITAL SOVEREIGNTY</w:t>
      </w:r>
    </w:p>
    <w:p/>
    <w:p>
      <w:pPr>
        <w:jc w:val="center"/>
      </w:pPr>
      <w:r>
        <w:rPr>
          <w:b/>
          <w:sz w:val="32"/>
        </w:rPr>
        <w:t>Module 1 — Capstone Session</w:t>
      </w:r>
    </w:p>
    <w:p>
      <w:pPr>
        <w:jc w:val="center"/>
      </w:pPr>
      <w:r>
        <w:rPr>
          <w:color w:val="505050"/>
          <w:sz w:val="24"/>
        </w:rPr>
        <w:t>Digital Technology Fundamentals</w:t>
        <w:br/>
        <w:t>Full-Stack Legal Map, Reference Tables &amp; Integrated Problem</w:t>
      </w:r>
    </w:p>
    <w:p/>
    <w:p/>
    <w:p>
      <w:pPr>
        <w:jc w:val="center"/>
      </w:pPr>
      <w:r>
        <w:rPr>
          <w:i/>
          <w:sz w:val="20"/>
        </w:rPr>
        <w:t>Duration: 90–120 minutes  |  Format: Open-book, group discussion</w:t>
      </w:r>
    </w:p>
    <w:p>
      <w:r>
        <w:br w:type="page"/>
      </w:r>
    </w:p>
    <w:p>
      <w:pPr>
        <w:pStyle w:val="Heading1"/>
      </w:pPr>
      <w:r>
        <w:t>PART 1 — The Full-Stack Legal Map</w:t>
      </w:r>
    </w:p>
    <w:p>
      <w:r>
        <w:rPr>
          <w:i/>
        </w:rPr>
        <w:t>The Full-Stack Legal Map is a single visual framework that connects every technical concept from Module 1 to its legal significance. It answers the question: 'When something goes wrong in a computer system, which law applies, and who is liable?'</w:t>
      </w:r>
    </w:p>
    <w:p/>
    <w:p>
      <w:pPr>
        <w:pStyle w:val="Heading2"/>
      </w:pPr>
      <w:r>
        <w:t>1.1  The Four-Layer Stack</w:t>
      </w:r>
    </w:p>
    <w:p>
      <w:r>
        <w:rPr>
          <w:i/>
          <w:sz w:val="20"/>
        </w:rPr>
        <w:t>Every digital system — from a mobile money app to a hospital records platform — can be understood as four stacked layers. A failure at any layer triggers different legal questions: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PLAIN ENGLISH</w:t>
              <w:br/>
              <w:t>(What it does)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LEGAL FRAMEWORK</w:t>
              <w:br/>
              <w:t>(What law applies)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FOUNDATION-TO-TUNE</w:t>
              <w:br/>
              <w:t>(Global vs Uganda)</w:t>
            </w:r>
          </w:p>
        </w:tc>
      </w:tr>
      <w:tr>
        <w:tc>
          <w:tcPr>
            <w:tcW w:type="dxa" w:w="680"/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1417"/>
            <w:shd w:fill="E8F0FE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984"/>
            <w:shd w:fill="E8F0FE" w:val="clear"/>
          </w:tcPr>
          <w:p>
            <w:r/>
            <w:r>
              <w:rPr>
                <w:rFonts w:ascii="Calibri" w:hAnsi="Calibri"/>
                <w:sz w:val="20"/>
              </w:rPr>
              <w:t>LAYER 4</w:t>
              <w:br/>
              <w:t>API &amp; CLOUD</w:t>
            </w:r>
          </w:p>
        </w:tc>
        <w:tc>
          <w:tcPr>
            <w:tcW w:type="dxa" w:w="3118"/>
            <w:shd w:fill="E8F0FE" w:val="clear"/>
          </w:tcPr>
          <w:p>
            <w:r/>
            <w:r>
              <w:rPr>
                <w:rFonts w:ascii="Calibri" w:hAnsi="Calibri"/>
                <w:sz w:val="20"/>
              </w:rPr>
              <w:t>What connects apps</w:t>
              <w:br/>
              <w:t>to data and infrastructure</w:t>
            </w:r>
          </w:p>
        </w:tc>
        <w:tc>
          <w:tcPr>
            <w:tcW w:type="dxa" w:w="2551"/>
            <w:shd w:fill="E8F0FE" w:val="clear"/>
          </w:tcPr>
          <w:p>
            <w:r/>
            <w:r>
              <w:rPr>
                <w:rFonts w:ascii="Calibri" w:hAnsi="Calibri"/>
                <w:sz w:val="20"/>
              </w:rPr>
              <w:t>Cloud Agreement • API Audit Log</w:t>
              <w:br/>
              <w:t>ETA s.29 (service provider liability)</w:t>
              <w:br/>
              <w:t>DPPA s.20 (data processor obligations)</w:t>
              <w:br/>
              <w:t>Contract law (SLA, warranties, indemnities)</w:t>
            </w:r>
          </w:p>
        </w:tc>
      </w:tr>
      <w:tr>
        <w:tc>
          <w:tcPr>
            <w:tcW w:type="dxa" w:w="680"/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1417"/>
            <w:shd w:fill="FFF3E0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984"/>
            <w:shd w:fill="FFF3E0" w:val="clear"/>
          </w:tcPr>
          <w:p>
            <w:r/>
            <w:r>
              <w:rPr>
                <w:rFonts w:ascii="Calibri" w:hAnsi="Calibri"/>
                <w:sz w:val="20"/>
              </w:rPr>
              <w:t>LAYER 3</w:t>
              <w:br/>
              <w:t>DATABASE</w:t>
            </w:r>
          </w:p>
        </w:tc>
        <w:tc>
          <w:tcPr>
            <w:tcW w:type="dxa" w:w="3118"/>
            <w:shd w:fill="FFF3E0" w:val="clear"/>
          </w:tcPr>
          <w:p>
            <w:r/>
            <w:r>
              <w:rPr>
                <w:rFonts w:ascii="Calibri" w:hAnsi="Calibri"/>
                <w:sz w:val="20"/>
              </w:rPr>
              <w:t>Where data is</w:t>
              <w:br/>
              <w:t>stored and queried</w:t>
            </w:r>
          </w:p>
        </w:tc>
        <w:tc>
          <w:tcPr>
            <w:tcW w:type="dxa" w:w="2551"/>
            <w:shd w:fill="FFF3E0" w:val="clear"/>
          </w:tcPr>
          <w:p>
            <w:r/>
            <w:r>
              <w:rPr>
                <w:rFonts w:ascii="Calibri" w:hAnsi="Calibri"/>
                <w:sz w:val="20"/>
              </w:rPr>
              <w:t>ETA s.8(4) &amp; s.8(5) (evidential weight,</w:t>
              <w:br/>
              <w:t>presumptions for electronic records)</w:t>
              <w:br/>
              <w:t>ETA s.9 (accessibility &amp; retention)</w:t>
              <w:br/>
              <w:t>DPPA s.18 (data minimisation)</w:t>
              <w:br/>
              <w:t>Limitation Act Cap. 80 (retention periods)</w:t>
            </w:r>
          </w:p>
        </w:tc>
      </w:tr>
      <w:tr>
        <w:tc>
          <w:tcPr>
            <w:tcW w:type="dxa" w:w="680"/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1417"/>
            <w:shd w:fill="E8F5E9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984"/>
            <w:shd w:fill="E8F5E9" w:val="clear"/>
          </w:tcPr>
          <w:p>
            <w:r/>
            <w:r>
              <w:rPr>
                <w:rFonts w:ascii="Calibri" w:hAnsi="Calibri"/>
                <w:sz w:val="20"/>
              </w:rPr>
              <w:t>LAYER 2</w:t>
              <w:br/>
              <w:t>NETWORK</w:t>
            </w:r>
          </w:p>
        </w:tc>
        <w:tc>
          <w:tcPr>
            <w:tcW w:type="dxa" w:w="3118"/>
            <w:shd w:fill="E8F5E9" w:val="clear"/>
          </w:tcPr>
          <w:p>
            <w:r/>
            <w:r>
              <w:rPr>
                <w:rFonts w:ascii="Calibri" w:hAnsi="Calibri"/>
                <w:sz w:val="20"/>
              </w:rPr>
              <w:t>How data travels</w:t>
              <w:br/>
              <w:t>between devices</w:t>
            </w:r>
          </w:p>
        </w:tc>
        <w:tc>
          <w:tcPr>
            <w:tcW w:type="dxa" w:w="2551"/>
            <w:shd w:fill="E8F5E9" w:val="clear"/>
          </w:tcPr>
          <w:p>
            <w:r/>
            <w:r>
              <w:rPr>
                <w:rFonts w:ascii="Calibri" w:hAnsi="Calibri"/>
                <w:sz w:val="20"/>
              </w:rPr>
              <w:t>RICA (lawful interception)</w:t>
              <w:br/>
              <w:t>CMA s.12, s.14, s.15 (unauthorised</w:t>
              <w:br/>
              <w:t>access, intent, modification)</w:t>
              <w:br/>
              <w:t>ETA s.7 (authenticity of data message)</w:t>
              <w:br/>
              <w:t>Jurisdiction (where data passed)</w:t>
            </w:r>
          </w:p>
        </w:tc>
      </w:tr>
      <w:tr>
        <w:tc>
          <w:tcPr>
            <w:tcW w:type="dxa" w:w="680"/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1417"/>
            <w:shd w:fill="FCE4EC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984"/>
            <w:shd w:fill="FCE4EC" w:val="clear"/>
          </w:tcPr>
          <w:p>
            <w:r/>
            <w:r>
              <w:rPr>
                <w:rFonts w:ascii="Calibri" w:hAnsi="Calibri"/>
                <w:sz w:val="20"/>
              </w:rPr>
              <w:t>LAYER 1</w:t>
              <w:br/>
              <w:t>HARDWARE &amp; OS</w:t>
            </w:r>
          </w:p>
        </w:tc>
        <w:tc>
          <w:tcPr>
            <w:tcW w:type="dxa" w:w="3118"/>
            <w:shd w:fill="FCE4EC" w:val="clear"/>
          </w:tcPr>
          <w:p>
            <w:r/>
            <w:r>
              <w:rPr>
                <w:rFonts w:ascii="Calibri" w:hAnsi="Calibri"/>
                <w:sz w:val="20"/>
              </w:rPr>
              <w:t>The physical machine</w:t>
              <w:br/>
              <w:t>and its brain</w:t>
            </w:r>
          </w:p>
        </w:tc>
        <w:tc>
          <w:tcPr>
            <w:tcW w:type="dxa" w:w="2551"/>
            <w:shd w:fill="FCE4EC" w:val="clear"/>
          </w:tcPr>
          <w:p>
            <w:r/>
            <w:r>
              <w:rPr>
                <w:rFonts w:ascii="Calibri" w:hAnsi="Calibri"/>
                <w:sz w:val="20"/>
              </w:rPr>
              <w:t>Sale of Goods Act Cap. 82 (fitness</w:t>
              <w:br/>
              <w:t>for purpose, implied terms)</w:t>
              <w:br/>
              <w:t>CMA s.12 (unauthorised access)</w:t>
              <w:br/>
              <w:t>Abstraction layer analysis</w:t>
              <w:br/>
              <w:t>(product liability)</w:t>
            </w:r>
          </w:p>
        </w:tc>
      </w:tr>
    </w:tbl>
    <w:p/>
    <w:p>
      <w:r>
        <w:rPr>
          <w:b/>
          <w:color w:val="003C78"/>
          <w:sz w:val="22"/>
        </w:rPr>
        <w:t>Key Insight: Most real disputes involve multiple layers. The skill is isolating which layer(s) the evidence points to, then applying the correct legal framework to each.</w:t>
      </w:r>
    </w:p>
    <w:p/>
    <w:p>
      <w:pPr>
        <w:pStyle w:val="Heading2"/>
      </w:pPr>
      <w:r>
        <w:t>1.2  Failure Diagnosis Decision Tree</w:t>
      </w:r>
    </w:p>
    <w:p>
      <w:r>
        <w:rPr>
          <w:i/>
          <w:sz w:val="20"/>
        </w:rPr>
        <w:t>When investigating a technology dispute, trace the failure through this sequence: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DIAGNOSTIC QUESTION</w:t>
            </w:r>
          </w:p>
        </w:tc>
        <w:tc>
          <w:tcPr>
            <w:tcW w:type="dxa" w:w="3685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IF YES →</w:t>
            </w:r>
          </w:p>
        </w:tc>
        <w:tc>
          <w:tcPr>
            <w:tcW w:type="dxa" w:w="3685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IF NO →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/>
                <w:b/>
                <w:sz w:val="20"/>
              </w:rPr>
              <w:t>1. Is there physical damage?</w:t>
            </w:r>
          </w:p>
        </w:tc>
        <w:tc>
          <w:tcPr>
            <w:tcW w:type="dxa" w:w="3685"/>
            <w:shd w:fill="E8F5E9" w:val="clear"/>
          </w:tcPr>
          <w:p>
            <w:r/>
            <w:r>
              <w:rPr>
                <w:rFonts w:ascii="Calibri" w:hAnsi="Calibri"/>
                <w:sz w:val="20"/>
              </w:rPr>
              <w:t>Hardware failure → Sale of Goods Act / product liability → Layer 1</w:t>
            </w:r>
          </w:p>
        </w:tc>
        <w:tc>
          <w:tcPr>
            <w:tcW w:type="dxa" w:w="3685"/>
            <w:shd w:fill="FFF3E0" w:val="clear"/>
          </w:tcPr>
          <w:p>
            <w:r/>
            <w:r>
              <w:rPr>
                <w:rFonts w:ascii="Calibri" w:hAnsi="Calibri"/>
                <w:sz w:val="20"/>
              </w:rPr>
              <w:t>If no physical damage, move to 2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/>
                <w:b/>
                <w:sz w:val="20"/>
              </w:rPr>
              <w:t>2. Was there unauthorised access?</w:t>
            </w:r>
          </w:p>
        </w:tc>
        <w:tc>
          <w:tcPr>
            <w:tcW w:type="dxa" w:w="3685"/>
            <w:shd w:fill="E8F5E9" w:val="clear"/>
          </w:tcPr>
          <w:p>
            <w:r/>
            <w:r>
              <w:rPr>
                <w:rFonts w:ascii="Calibri" w:hAnsi="Calibri"/>
                <w:sz w:val="20"/>
              </w:rPr>
              <w:t>OS/network intrusion → CMA s.12-15 → Layer 1 or 2</w:t>
            </w:r>
          </w:p>
        </w:tc>
        <w:tc>
          <w:tcPr>
            <w:tcW w:type="dxa" w:w="3685"/>
            <w:shd w:fill="FFF3E0" w:val="clear"/>
          </w:tcPr>
          <w:p>
            <w:r/>
            <w:r>
              <w:rPr>
                <w:rFonts w:ascii="Calibri" w:hAnsi="Calibri"/>
                <w:sz w:val="20"/>
              </w:rPr>
              <w:t>If no intrusion, move to 3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/>
                <w:b/>
                <w:sz w:val="20"/>
              </w:rPr>
              <w:t>3. Is there a record conflict?</w:t>
            </w:r>
          </w:p>
        </w:tc>
        <w:tc>
          <w:tcPr>
            <w:tcW w:type="dxa" w:w="3685"/>
            <w:shd w:fill="E8F5E9" w:val="clear"/>
          </w:tcPr>
          <w:p>
            <w:r/>
            <w:r>
              <w:rPr>
                <w:rFonts w:ascii="Calibri" w:hAnsi="Calibri"/>
                <w:sz w:val="20"/>
              </w:rPr>
              <w:t>Database inconsistency → ETA s.8(4)-8(5) → Layer 3</w:t>
            </w:r>
          </w:p>
        </w:tc>
        <w:tc>
          <w:tcPr>
            <w:tcW w:type="dxa" w:w="3685"/>
            <w:shd w:fill="FFF3E0" w:val="clear"/>
          </w:tcPr>
          <w:p>
            <w:r/>
            <w:r>
              <w:rPr>
                <w:rFonts w:ascii="Calibri" w:hAnsi="Calibri"/>
                <w:sz w:val="20"/>
              </w:rPr>
              <w:t>If no conflict, move to 4</w:t>
            </w:r>
          </w:p>
        </w:tc>
      </w:tr>
      <w:tr>
        <w:tc>
          <w:tcPr>
            <w:tcW w:type="dxa" w:w="2835"/>
            <w:shd w:fill="F5F5F5" w:val="clear"/>
          </w:tcPr>
          <w:p>
            <w:r/>
            <w:r>
              <w:rPr>
                <w:rFonts w:ascii="Calibri" w:hAnsi="Calibri"/>
                <w:b/>
                <w:sz w:val="20"/>
              </w:rPr>
              <w:t>4. Is there a service failure?</w:t>
            </w:r>
          </w:p>
        </w:tc>
        <w:tc>
          <w:tcPr>
            <w:tcW w:type="dxa" w:w="3685"/>
            <w:shd w:fill="E8F5E9" w:val="clear"/>
          </w:tcPr>
          <w:p>
            <w:r/>
            <w:r>
              <w:rPr>
                <w:rFonts w:ascii="Calibri" w:hAnsi="Calibri"/>
                <w:sz w:val="20"/>
              </w:rPr>
              <w:t>SLA breach / API error → Contract / ETA s.29 → Layer 4</w:t>
            </w:r>
          </w:p>
        </w:tc>
        <w:tc>
          <w:tcPr>
            <w:tcW w:type="dxa" w:w="3685"/>
            <w:shd w:fill="FFF3E0" w:val="clear"/>
          </w:tcPr>
          <w:p>
            <w:r/>
            <w:r>
              <w:rPr>
                <w:rFonts w:ascii="Calibri" w:hAnsi="Calibri"/>
                <w:sz w:val="20"/>
              </w:rPr>
              <w:t>If no service failure → systemic or cross-layer issue</w:t>
            </w:r>
          </w:p>
        </w:tc>
      </w:tr>
    </w:tbl>
    <w:p>
      <w:r>
        <w:br w:type="page"/>
      </w:r>
    </w:p>
    <w:p>
      <w:pPr>
        <w:pStyle w:val="Heading1"/>
      </w:pPr>
      <w:r>
        <w:t>PART 2 — Reference Tables</w:t>
      </w:r>
    </w:p>
    <w:p>
      <w:r>
        <w:rPr>
          <w:i/>
        </w:rPr>
        <w:t>These tables consolidate every key concept from Weeks 1–4 by legal question type. Use them during the capstone exercise.</w:t>
      </w:r>
    </w:p>
    <w:p/>
    <w:p>
      <w:pPr>
        <w:pStyle w:val="Heading2"/>
      </w:pPr>
      <w:r>
        <w:t>2.1  Technical Concept → Legal Significance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TECHNICAL CONCEPT</w:t>
            </w:r>
          </w:p>
        </w:tc>
        <w:tc>
          <w:tcPr>
            <w:tcW w:type="dxa" w:w="5669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LEGAL SIGNIFICANCE</w:t>
            </w:r>
          </w:p>
        </w:tc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Abstraction layer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A system failure originates at one specific layer. Liability follows the layer.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 1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Kernel vs User Mode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Kernel mode = full system access. User mode = restricted. Malware that escalates to kernel = CMA s.12 (unauthorised modification).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 1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Volatile vs Non-Volatile Memory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RAM, cache, registers lose data on power-off. Forensic preservation must happen before shutdown.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 1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TCP/IP 5-Layer Model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Each layer creates a different jurisdictional hook. IP header = geolocation. Application data = content jurisdiction.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 2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Encapsulation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Each layer wraps data from above. The outer layers (network, transport) determine routing; inner layers (application) determine content.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 2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DNS Resolution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DNS reveals which domain names resolve to which IPs. Critical for identifying hosting jurisdiction and content distribution.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 2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ACID vs BASE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ACID (PostgreSQL) = immediate consistency, reliable evidence. BASE (Cassandra) = eventual consistency, unreliable for point-in-time queries.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 3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ETL Pipeline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Extract, Transform, Load — data moves between systems. Each step can introduce error. Audit trail is key to evidence weight.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 3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Serverless Architecture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No dedicated server = no 'proper working of computer' presumption under ETA s.8(5)(a). Affects evidential weight.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 3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REST API &amp; HTTP Verbs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GET = read, POST = create, PUT = update, DELETE = remove. Audit logs show exactly what operation was performed.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 4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IDOR (Broken Access Control)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User can access another user's data by changing an ID in the URL. Fix: authorisation check per resource.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 4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Cloud Service Models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IaaS = you manage OS/apps. PaaS = you manage apps only. SaaS = you manage nothing. Liability allocation differs per model.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 4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SDLC Lifecycle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Requirements → Design → Dev → Testing → Deployment → Maintenance. Skipping testing = evidence of negligence.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 4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SLA &amp; Service Credits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20"/>
              </w:rPr>
              <w:t>Sole remedy is often a discretionary credit. Must negotiate security-incident-specific remedies separately.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Week 4</w:t>
            </w:r>
          </w:p>
        </w:tc>
      </w:tr>
    </w:tbl>
    <w:p/>
    <w:p>
      <w:pPr>
        <w:pStyle w:val="Heading2"/>
      </w:pPr>
      <w:r>
        <w:t>2.2  Statute Quick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STATUTE</w:t>
            </w:r>
          </w:p>
        </w:tc>
        <w:tc>
          <w:tcPr>
            <w:tcW w:type="dxa" w:w="3118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KEY SECTIONS</w:t>
            </w:r>
          </w:p>
        </w:tc>
        <w:tc>
          <w:tcPr>
            <w:tcW w:type="dxa" w:w="2268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WHEN TO USE</w:t>
            </w:r>
          </w:p>
        </w:tc>
        <w:tc>
          <w:tcPr>
            <w:tcW w:type="dxa" w:w="1417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Computer Misuse Act (CMA) Cap. 98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S.12 — Unauthorised access</w:t>
              <w:br/>
              <w:t>S.14 — Access with intent to commit offence</w:t>
              <w:br/>
              <w:t>S.15 — Unauthorised modification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Criminal liability for</w:t>
              <w:br/>
              <w:t>hacking, intrusion,</w:t>
              <w:br/>
              <w:t>malware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Layer 1 (OS)</w:t>
              <w:br/>
              <w:t>Layer 2 (Network)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Electronic Transactions Act (ETA) Cap. 99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S.7 — Authenticity of data messages</w:t>
              <w:br/>
              <w:t>S.8(1)(c) — Admissibility despite not original</w:t>
              <w:br/>
              <w:t>S.8(4) — Factors for evidential weight</w:t>
              <w:br/>
              <w:t>S.8(5) — Presumptions for reliable systems</w:t>
              <w:br/>
              <w:t>S.9 — Accessibility and retention</w:t>
              <w:br/>
              <w:t>S.29 — Service provider immunity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Admissibility and</w:t>
              <w:br/>
              <w:t>weight of electronic</w:t>
              <w:br/>
              <w:t>evidence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Layer 3 (Database)</w:t>
              <w:br/>
              <w:t>Layer 4 (Cloud)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Data Protection &amp; Privacy Act (DPPA) 2019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S.18 — Data minimisation &amp; retention</w:t>
              <w:br/>
              <w:t>S.20 — Security safeguards</w:t>
              <w:br/>
              <w:t>Section 19 — Cross-border transfer</w:t>
              <w:br/>
              <w:t>PDPO notification obligation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Obligations of data</w:t>
              <w:br/>
              <w:t>controllers and</w:t>
              <w:br/>
              <w:t>processors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Layer 3 (Database)</w:t>
              <w:br/>
              <w:t>Layer 4 (Cloud)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Sale of Goods Act Cap. 82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S.40-44 — Implied terms (quality, fitness)</w:t>
              <w:br/>
              <w:t>Privity of contract rules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Product liability for</w:t>
              <w:br/>
              <w:t>defective hardware</w:t>
              <w:br/>
              <w:t>or software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Layer 1 (Hardware)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Regulation of Interception of Communications Act (RICA)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S.3-8 — Lawful interception requirements</w:t>
              <w:br/>
              <w:t>S.12-14 — Unlawful interception offences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Legal boundaries of</w:t>
              <w:br/>
              <w:t>network surveillance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Layer 2 (Network)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Limitation Act Cap. 80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6 years for contractual claims</w:t>
              <w:br/>
              <w:t>3 years for tort claims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Determines minimum</w:t>
              <w:br/>
              <w:t>data retention periods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Layer 3 (Database)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Reciprocal Enforcement of Judgments Act Cap. 21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Registration of foreign judgments</w:t>
              <w:br/>
              <w:t>Conditions for enforcement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Enforceability of</w:t>
              <w:br/>
              <w:t>owerseas judgments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Layer 4 (Cloud)</w:t>
            </w:r>
          </w:p>
        </w:tc>
      </w:tr>
    </w:tbl>
    <w:p>
      <w:r>
        <w:br w:type="page"/>
      </w:r>
    </w:p>
    <w:p>
      <w:pPr>
        <w:pStyle w:val="Heading1"/>
      </w:pPr>
      <w:r>
        <w:t>PART 3 — Capstone Problem: The SwiftMove Dispute</w:t>
      </w:r>
    </w:p>
    <w:p>
      <w:r>
        <w:rPr>
          <w:i/>
        </w:rPr>
        <w:t>This is an open-book, discussion-based exercise. Use the Full-Stack Legal Map and Reference Tables to guide your analysis.</w:t>
      </w:r>
    </w:p>
    <w:p/>
    <w:p>
      <w:pPr>
        <w:pStyle w:val="Heading2"/>
      </w:pPr>
      <w:r>
        <w:t>3.1  Fact Pattern</w:t>
      </w:r>
    </w:p>
    <w:p>
      <w:r>
        <w:t>SwiftMove Uganda Ltd is a Kampala-based logistics company operating a digital delivery platform. The platform consists of:</w:t>
      </w:r>
    </w:p>
    <w:p>
      <w:pPr>
        <w:pStyle w:val="ListBullet"/>
      </w:pPr>
      <w:r>
        <w:t>A mobile app for delivery drivers (Android)</w:t>
      </w:r>
    </w:p>
    <w:p>
      <w:pPr>
        <w:pStyle w:val="ListBullet"/>
      </w:pPr>
      <w:r>
        <w:t>A cloud backend hosted by DataVault Kenya Ltd (a PaaS provider with servers in Nairobi)</w:t>
      </w:r>
    </w:p>
    <w:p>
      <w:pPr>
        <w:pStyle w:val="ListBullet"/>
      </w:pPr>
      <w:r>
        <w:t>A PostgreSQL database storing all delivery records</w:t>
      </w:r>
    </w:p>
    <w:p>
      <w:pPr>
        <w:pStyle w:val="ListBullet"/>
      </w:pPr>
      <w:r>
        <w:t>A REST API that drivers' phones call to update delivery status</w:t>
      </w:r>
    </w:p>
    <w:p/>
    <w:p>
      <w:r>
        <w:rPr>
          <w:b/>
        </w:rPr>
        <w:t>The Incident:</w:t>
      </w:r>
    </w:p>
    <w:p>
      <w:r>
        <w:t>On 15 August 2026, a dispute arises over Delivery #48291. The facts are:</w:t>
      </w:r>
    </w:p>
    <w:p>
      <w:pPr>
        <w:pStyle w:val="ListBullet"/>
      </w:pPr>
      <w:r>
        <w:t>Driver D-201 (assigned to Delivery #48291) marked the delivery as 'Completed' in the app at 14:32.</w:t>
      </w:r>
    </w:p>
    <w:p>
      <w:pPr>
        <w:pStyle w:val="ListBullet"/>
      </w:pPr>
      <w:r>
        <w:t>The customer, Sarah Nakato, says the package never arrived.</w:t>
      </w:r>
    </w:p>
    <w:p>
      <w:pPr>
        <w:pStyle w:val="ListBullet"/>
      </w:pPr>
      <w:r>
        <w:t>The PostgreSQL database shows: delivery_status = 'completed', completed_at = '2026-08-15 14:32:04', completed_by = 'D-201'.</w:t>
      </w:r>
    </w:p>
    <w:p>
      <w:pPr>
        <w:pStyle w:val="ListBullet"/>
      </w:pPr>
      <w:r>
        <w:t>The API audit log shows a PUT request to /api/v1/deliveries/48291/status at 14:32:04 from D-201's device. The request body contained: {status: 'completed'}.</w:t>
      </w:r>
    </w:p>
    <w:p>
      <w:pPr>
        <w:pStyle w:val="ListBullet"/>
      </w:pPr>
      <w:r>
        <w:t>SwiftMove's operations manager swears D-201 was unauthorised to handle this delivery — it was reassigned to Driver D-207 at 13:45 due to D-201 being off-shift, but the reassignment was done by a phone call (no system update).</w:t>
      </w:r>
    </w:p>
    <w:p>
      <w:pPr>
        <w:pStyle w:val="ListBullet"/>
      </w:pPr>
      <w:r>
        <w:t>DataVault Kenya Ltd confirms 99.97% uptime for August 2026 and states its infrastructure logs show no anomalies.</w:t>
      </w:r>
    </w:p>
    <w:p>
      <w:pPr>
        <w:pStyle w:val="ListBullet"/>
      </w:pPr>
      <w:r>
        <w:t>D-201's phone is a refurbished Tecno phone purchased from a vendor in Owino market. D-201 has since disappeared.</w:t>
      </w:r>
    </w:p>
    <w:p/>
    <w:p>
      <w:pPr>
        <w:pStyle w:val="Heading2"/>
      </w:pPr>
      <w:r>
        <w:t>3.2  The Legal Questions</w:t>
      </w:r>
    </w:p>
    <w:p>
      <w:r>
        <w:rPr>
          <w:b/>
        </w:rPr>
        <w:t>Advise SwiftMove Uganda Ltd on each of the following. Use the Full-Stack Legal Map to identify which layer(s) each question engages.</w:t>
      </w:r>
    </w:p>
    <w:p/>
    <w:p>
      <w:r>
        <w:rPr>
          <w:b/>
          <w:color w:val="003C78"/>
          <w:sz w:val="24"/>
        </w:rPr>
        <w:t>Question 1 — Evidence Reliability (30 mins)</w:t>
      </w:r>
    </w:p>
    <w:p>
      <w:r>
        <w:t>Sarah Nakato threatens to sue SwiftMove for the missing package. SwiftMove's only evidence that delivery occurred is the database record and API log.</w:t>
      </w:r>
    </w:p>
    <w:p>
      <w:pPr>
        <w:pStyle w:val="ListBullet"/>
      </w:pPr>
      <w:r>
        <w:t>Is the PostgreSQL database record admissible as evidence? (Consider ETA s.8(4), s.8(5))</w:t>
      </w:r>
    </w:p>
    <w:p>
      <w:pPr>
        <w:pStyle w:val="ListBullet"/>
      </w:pPr>
      <w:r>
        <w:t>Does the API audit log corroborate or undermine the database record?</w:t>
      </w:r>
    </w:p>
    <w:p>
      <w:pPr>
        <w:pStyle w:val="ListBullet"/>
      </w:pPr>
      <w:r>
        <w:t>What factors affect the evidential weight of each record?</w:t>
      </w:r>
    </w:p>
    <w:p>
      <w:pPr>
        <w:pStyle w:val="ListBullet"/>
      </w:pPr>
      <w:r>
        <w:t>If this were a criminal matter (theft of the package by D-201), how would your analysis change?</w:t>
      </w:r>
    </w:p>
    <w:p/>
    <w:p>
      <w:r>
        <w:rPr>
          <w:b/>
          <w:color w:val="003C78"/>
          <w:sz w:val="24"/>
        </w:rPr>
        <w:t>Question 2 — Hardware &amp; OS Layer (15 mins)</w:t>
      </w:r>
    </w:p>
    <w:p>
      <w:pPr>
        <w:pStyle w:val="ListBullet"/>
      </w:pPr>
      <w:r>
        <w:t>D-201's phone is refurbished — does that create any product liability claim against the vendor? (Consider Sale of Goods Act Cap. 82)</w:t>
      </w:r>
    </w:p>
    <w:p>
      <w:pPr>
        <w:pStyle w:val="ListBullet"/>
      </w:pPr>
      <w:r>
        <w:t>If D-201's phone had been compromised (malware that auto-sent the PUT request), which abstraction layer failed?</w:t>
      </w:r>
    </w:p>
    <w:p>
      <w:pPr>
        <w:pStyle w:val="ListBullet"/>
      </w:pPr>
      <w:r>
        <w:t>Who would be the proper defendant for a hardware-layer failure?</w:t>
      </w:r>
    </w:p>
    <w:p/>
    <w:p>
      <w:r>
        <w:rPr>
          <w:b/>
          <w:color w:val="003C78"/>
          <w:sz w:val="24"/>
        </w:rPr>
        <w:t>Question 3 — Network Layer (15 mins)</w:t>
      </w:r>
    </w:p>
    <w:p>
      <w:pPr>
        <w:pStyle w:val="ListBullet"/>
      </w:pPr>
      <w:r>
        <w:t>The API request from D-201's phone passed through three mobile carriers to reach DataVault's servers in Nairobi. If the request was intercepted or modified in transit, which law applies?</w:t>
      </w:r>
    </w:p>
    <w:p>
      <w:pPr>
        <w:pStyle w:val="ListBullet"/>
      </w:pPr>
      <w:r>
        <w:t>Can SwiftMove determine where along the network path the data was at any given time? (Consider TCP/IP encapsulation)</w:t>
      </w:r>
    </w:p>
    <w:p>
      <w:pPr>
        <w:pStyle w:val="ListBullet"/>
      </w:pPr>
      <w:r>
        <w:t>What jurisdictional issues arise from data crossing from Uganda to Kenya?</w:t>
      </w:r>
    </w:p>
    <w:p/>
    <w:p>
      <w:r>
        <w:rPr>
          <w:b/>
          <w:color w:val="003C78"/>
          <w:sz w:val="24"/>
        </w:rPr>
        <w:t>Question 4 — API &amp; Cloud Layer (20 mins)</w:t>
      </w:r>
    </w:p>
    <w:p>
      <w:pPr>
        <w:pStyle w:val="ListBullet"/>
      </w:pPr>
      <w:r>
        <w:t>SwiftMove's agreement with DataVault Kenya Ltd is governed by English law with exclusive London jurisdiction. DataVault's SLA promises 99.9% uptime — they achieved 99.97%. Does SwiftMove have any remedy?</w:t>
      </w:r>
    </w:p>
    <w:p>
      <w:pPr>
        <w:pStyle w:val="ListBullet"/>
      </w:pPr>
      <w:r>
        <w:t>The reassignment of Delivery #48291 was done by phone call, not system update. Is this a process failure (SDLC) or a legal issue?</w:t>
      </w:r>
    </w:p>
    <w:p>
      <w:pPr>
        <w:pStyle w:val="ListBullet"/>
      </w:pPr>
      <w:r>
        <w:t>Draft one amendment to the DataVault agreement that would have protected SwiftMove better in this scenario.</w:t>
      </w:r>
    </w:p>
    <w:p/>
    <w:p>
      <w:r>
        <w:rPr>
          <w:b/>
          <w:color w:val="003C78"/>
          <w:sz w:val="24"/>
        </w:rPr>
        <w:t>Question 5 — Integrated Opinion (20 mins)</w:t>
      </w:r>
    </w:p>
    <w:p>
      <w:r>
        <w:t>Write a memorandum to SwiftMove's managing director that:</w:t>
      </w:r>
    </w:p>
    <w:p>
      <w:pPr>
        <w:pStyle w:val="ListBullet"/>
      </w:pPr>
      <w:r>
        <w:t>Identifies the most likely layer(s) where the failure occurred</w:t>
      </w:r>
    </w:p>
    <w:p>
      <w:pPr>
        <w:pStyle w:val="ListBullet"/>
      </w:pPr>
      <w:r>
        <w:t>Assesses the strength of SwiftMove's position in a dispute with Sarah Nakato</w:t>
      </w:r>
    </w:p>
    <w:p>
      <w:pPr>
        <w:pStyle w:val="ListBullet"/>
      </w:pPr>
      <w:r>
        <w:t>Recommends three practical steps SwiftMove should take immediately</w:t>
      </w:r>
    </w:p>
    <w:p>
      <w:r>
        <w:br w:type="page"/>
      </w:r>
    </w:p>
    <w:p>
      <w:pPr>
        <w:pStyle w:val="Heading1"/>
      </w:pPr>
      <w:r>
        <w:t>PART 4 — Session Guide for the Instructor</w:t>
      </w:r>
    </w:p>
    <w:p>
      <w:r>
        <w:rPr>
          <w:i/>
        </w:rPr>
        <w:t>This guide walks through how to run the 90–120 minute session. Adjust timing based on group size and pace.</w:t>
      </w:r>
    </w:p>
    <w:p/>
    <w:p>
      <w:pPr>
        <w:pStyle w:val="Heading2"/>
      </w:pPr>
      <w:r>
        <w:t>4.1  Session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2551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5386"/>
            <w:shd w:fill="1F4E79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INSTRUCTOR NOTES</w:t>
            </w:r>
          </w:p>
        </w:tc>
      </w:tr>
      <w:tr>
        <w:tc>
          <w:tcPr>
            <w:tcW w:type="dxa" w:w="1417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0:00 – 0:15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Introduce the Full-Stack Legal Map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Display the 4-layer stack. Walk through each layer: what it does, what law applies, the Foundation-to-Tune difference. Emphasise that most real disputes span multiple layers.</w:t>
            </w:r>
          </w:p>
        </w:tc>
      </w:tr>
      <w:tr>
        <w:tc>
          <w:tcPr>
            <w:tcW w:type="dxa" w:w="1417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0:15 – 0:30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Read the Fact Pattern Together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Distribute the SwiftMove case. Read aloud. Ask candidates to identify which weeks' concepts appear. (Expected: all four weeks — phone hardware = Wk1, network carriers = Wk2, database = Wk3, API/cloud = Wk4).</w:t>
            </w:r>
          </w:p>
        </w:tc>
      </w:tr>
      <w:tr>
        <w:tc>
          <w:tcPr>
            <w:tcW w:type="dxa" w:w="1417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0:30 – 1:00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Questions 1 &amp; 2 (Evidence + Hardware)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Work through together. Key teaching points: ETA s.8(4) factors, s.8(5) presumptions, ACID vs BASE reliability, Sale of Goods implied terms vs privity problem for grey-market goods.</w:t>
            </w:r>
          </w:p>
        </w:tc>
      </w:tr>
      <w:tr>
        <w:tc>
          <w:tcPr>
            <w:tcW w:type="dxa" w:w="1417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1:00 – 1:20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Questions 3 &amp; 4 (Network + Cloud)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Key teaching points: TCP/IP encapsulation and jurisdiction, SLA analysis, SDLC process failure as evidence of negligence, contract amendment drafting.</w:t>
            </w:r>
          </w:p>
        </w:tc>
      </w:tr>
      <w:tr>
        <w:tc>
          <w:tcPr>
            <w:tcW w:type="dxa" w:w="1417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1:20 – 1:50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Question 5 — Integrated Opinion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Give candidates 20 minutes to draft a short memorandum. Then compare approaches. Discuss which layer each candidate prioritised.</w:t>
            </w:r>
          </w:p>
        </w:tc>
      </w:tr>
      <w:tr>
        <w:tc>
          <w:tcPr>
            <w:tcW w:type="dxa" w:w="1417"/>
            <w:shd w:fill="F0F4F8" w:val="clear"/>
          </w:tcPr>
          <w:p>
            <w:r/>
            <w:r>
              <w:rPr>
                <w:rFonts w:ascii="Calibri" w:hAnsi="Calibri"/>
                <w:b/>
                <w:sz w:val="20"/>
              </w:rPr>
              <w:t>1:50 – 2:00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/>
                <w:sz w:val="20"/>
              </w:rPr>
              <w:t>Debrief &amp; Module 1 Wrap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20"/>
              </w:rPr>
              <w:t>Summarise key takeaways. Identify which areas each candidate should revise before Module 2.</w:t>
            </w:r>
          </w:p>
        </w:tc>
      </w:tr>
    </w:tbl>
    <w:p/>
    <w:p>
      <w:pPr>
        <w:pStyle w:val="Heading2"/>
      </w:pPr>
      <w:r>
        <w:t>4.2  Expected Answers (for Instructor Reference)</w:t>
      </w:r>
    </w:p>
    <w:p>
      <w:r>
        <w:rPr>
          <w:b/>
          <w:sz w:val="22"/>
        </w:rPr>
        <w:t>Question 1 — Evidence Reliability:</w:t>
      </w:r>
    </w:p>
    <w:p>
      <w:pPr>
        <w:pStyle w:val="ListBullet"/>
      </w:pPr>
      <w:r>
        <w:t>PostgreSQL uses ACID — the record is likely reliable under ETA s.8(4) (manner of generation, reliability of process). The s.8(5) rebuttable presumption of proper working may apply.</w:t>
      </w:r>
    </w:p>
    <w:p>
      <w:pPr>
        <w:pStyle w:val="ListBullet"/>
      </w:pPr>
      <w:r>
        <w:t>API audit log corroborates the database record — timestamp and request body match. However, it only proves a request was sent, not that delivery physically occurred.</w:t>
      </w:r>
    </w:p>
    <w:p>
      <w:pPr>
        <w:pStyle w:val="ListBullet"/>
      </w:pPr>
      <w:r>
        <w:t>Criminal case: higher standard. Must prove beyond reasonable doubt. D-201's disappearance, refurbished phone, and phone-call reassignment all create reasonable doubt.</w:t>
      </w:r>
    </w:p>
    <w:p>
      <w:pPr>
        <w:pStyle w:val="ListBullet"/>
      </w:pPr>
      <w:r>
        <w:t>Key distinction: civil = balance of probabilities, criminal = beyond reasonable doubt.</w:t>
      </w:r>
    </w:p>
    <w:p>
      <w:r>
        <w:rPr>
          <w:b/>
          <w:sz w:val="22"/>
        </w:rPr>
        <w:t>Question 2 — Hardware &amp; OS:</w:t>
      </w:r>
    </w:p>
    <w:p>
      <w:pPr>
        <w:pStyle w:val="ListBullet"/>
      </w:pPr>
      <w:r>
        <w:t>Refurbished phone: Sale of Goods Act Cap. 82 s.40-44 imply terms of satisfactory quality and fitness for purpose. But privity of contract — D-201 bought it, not SwiftMove. SwiftMove has no direct claim against the vendor.</w:t>
      </w:r>
    </w:p>
    <w:p>
      <w:pPr>
        <w:pStyle w:val="ListBullet"/>
      </w:pPr>
      <w:r>
        <w:t>If malware: failure at Layer 1 (OS) — kernel/user mode escalation. CMA s.12-15 apply to the attacker. SwiftMove's liability depends on whether they provided the phone or D-201 used his own device.</w:t>
      </w:r>
    </w:p>
    <w:p>
      <w:r>
        <w:rPr>
          <w:b/>
          <w:sz w:val="22"/>
        </w:rPr>
        <w:t>Question 3 — Network:</w:t>
      </w:r>
    </w:p>
    <w:p>
      <w:pPr>
        <w:pStyle w:val="ListBullet"/>
      </w:pPr>
      <w:r>
        <w:t>TCP/IP encapsulation: each layer adds headers. The IP header reveals source/destination. The application data (API request body) is at Layer 5. Interception could occur at any layer.</w:t>
      </w:r>
    </w:p>
    <w:p>
      <w:pPr>
        <w:pStyle w:val="ListBullet"/>
      </w:pPr>
      <w:r>
        <w:t>Jurisdiction: data passed through Uganda → Kenya. RICA governs interception in Uganda. Kenya's Data Protection Act governs data in Kenya. Three jurisdictions involved.</w:t>
      </w:r>
    </w:p>
    <w:p>
      <w:r>
        <w:rPr>
          <w:b/>
          <w:sz w:val="22"/>
        </w:rPr>
        <w:t>Question 4 — API &amp; Cloud:</w:t>
      </w:r>
    </w:p>
    <w:p>
      <w:pPr>
        <w:pStyle w:val="ListBullet"/>
      </w:pPr>
      <w:r>
        <w:t>SLA: 99.97% exceeds 99.9%. No remedy under current SLA. The real issue is not uptime but security/authorisation — the current SLA doesn't cover this.</w:t>
      </w:r>
    </w:p>
    <w:p>
      <w:pPr>
        <w:pStyle w:val="ListBullet"/>
      </w:pPr>
      <w:r>
        <w:t>Phone-call reassignment: SDLC process failure. The system allowed D-201 to complete a delivery he was not authorised for because the reassignment was never entered into the system. This is a process gap, not a technical bug.</w:t>
      </w:r>
    </w:p>
    <w:p>
      <w:pPr>
        <w:pStyle w:val="ListBullet"/>
      </w:pPr>
      <w:r>
        <w:t>Suggested amendment: add clause requiring that access control changes (reassignments, role changes) must be made through the system and cannot be overridden by manual processes.</w:t>
      </w:r>
    </w:p>
    <w:p>
      <w:r>
        <w:rPr>
          <w:b/>
          <w:sz w:val="22"/>
        </w:rPr>
        <w:t>Question 5 — Integrated Opinion:</w:t>
      </w:r>
    </w:p>
    <w:p>
      <w:pPr>
        <w:pStyle w:val="ListBullet"/>
      </w:pPr>
      <w:r>
        <w:t>Likely failure layers: Layer 1 (phone hardware possibly compromised?), Layer 4 (process failure in SDLC — reassignment not reflected in system).</w:t>
      </w:r>
    </w:p>
    <w:p>
      <w:pPr>
        <w:pStyle w:val="ListBullet"/>
      </w:pPr>
      <w:r>
        <w:t>Strength of position: weak — SwiftMove has a database record and API log showing completion, but cannot prove physical delivery. The reassignment gap undermines their process.</w:t>
      </w:r>
    </w:p>
    <w:p>
      <w:pPr>
        <w:pStyle w:val="ListBullet"/>
      </w:pPr>
      <w:r>
        <w:t>Recommendations: (1) Implement mandatory system-based reassignment — no phone-call overrides. (2) Preserve all logs forensically. (3) Review cloud agreement for security/process obligations.</w:t>
      </w:r>
    </w:p>
    <w:p/>
    <w:p>
      <w:pPr>
        <w:pStyle w:val="Heading2"/>
      </w:pPr>
      <w:r>
        <w:t>4.3  Discussion Prompts</w:t>
      </w:r>
    </w:p>
    <w:p>
      <w:r>
        <w:rPr>
          <w:i/>
        </w:rPr>
        <w:t>Use these prompts to deepen the session:</w:t>
      </w:r>
    </w:p>
    <w:p/>
    <w:p>
      <w:pPr>
        <w:pStyle w:val="ListBullet"/>
      </w:pPr>
      <w:r>
        <w:t>If SwiftMove had used Cassandra instead of PostgreSQL, would your evidence analysis change?</w:t>
      </w:r>
    </w:p>
    <w:p>
      <w:pPr>
        <w:pStyle w:val="ListBullet"/>
      </w:pPr>
      <w:r>
        <w:t>Should companies be liable for actions their employees take on personal (refurbished) devices?</w:t>
      </w:r>
    </w:p>
    <w:p>
      <w:pPr>
        <w:pStyle w:val="ListBullet"/>
      </w:pPr>
      <w:r>
        <w:t>DataVault's SLA says 'as is, as available' — is it fair to hold a Ugandan startup to the same standard as a multinational?</w:t>
      </w:r>
    </w:p>
    <w:p>
      <w:pPr>
        <w:pStyle w:val="ListBullet"/>
      </w:pPr>
      <w:r>
        <w:t>The reassignment was done by phone call. Is this a legal issue or a management issue?</w:t>
      </w:r>
    </w:p>
    <w:p/>
    <w:p/>
    <w:p>
      <w:pPr>
        <w:jc w:val="center"/>
      </w:pPr>
      <w:r>
        <w:rPr>
          <w:b/>
          <w:color w:val="646464"/>
          <w:sz w:val="24"/>
        </w:rPr>
        <w:t>— End of Module 1 Capstone Session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