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954C4" w14:textId="1F3A69A3" w:rsidR="00065207" w:rsidRDefault="00065207" w:rsidP="00EE7F61">
      <w:pPr>
        <w:spacing w:after="60"/>
      </w:pPr>
    </w:p>
    <w:p w14:paraId="30E5B121" w14:textId="7E252FF7" w:rsidR="00065207" w:rsidRDefault="00000000">
      <w:pPr>
        <w:spacing w:after="200"/>
        <w:jc w:val="center"/>
      </w:pPr>
      <w:r>
        <w:rPr>
          <w:rFonts w:ascii="Calibri" w:eastAsia="Calibri" w:hAnsi="Calibri" w:cs="Calibri"/>
          <w:b/>
          <w:bCs/>
          <w:color w:val="1F3864"/>
          <w:sz w:val="32"/>
          <w:szCs w:val="32"/>
        </w:rPr>
        <w:t>POLICY BRIEF: A Village Secretary for Data — Continuous, Sovereign Population and Vital Statistics Data Through the Local Council I System</w:t>
      </w:r>
    </w:p>
    <w:p w14:paraId="1B4054E6" w14:textId="0690824D" w:rsidR="00065207" w:rsidRDefault="00065207" w:rsidP="00EE7F61">
      <w:pPr>
        <w:pBdr>
          <w:bottom w:val="single" w:sz="8" w:space="8" w:color="1F3864"/>
        </w:pBdr>
        <w:spacing w:after="400"/>
      </w:pPr>
    </w:p>
    <w:p w14:paraId="0E05B4BA" w14:textId="77777777" w:rsidR="00065207" w:rsidRDefault="00000000">
      <w:pPr>
        <w:pStyle w:val="Heading1"/>
        <w:spacing w:before="320" w:after="160"/>
      </w:pPr>
      <w:r>
        <w:t>Executive Summary</w:t>
      </w:r>
    </w:p>
    <w:p w14:paraId="0BF30DC1"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Uganda's population and vital statistics are produced on a ten-year cycle at a cost that is rising with each iteration, while the underlying civil registration system that should provide continuous data between censuses is, by the government's own published figures, one of the weakest in the region. This brief proposes a statutory Secretary for Data position on every Local Council I (LC1) executive committee, submitting structured data through a granularly scoped WhatsApp Business API into </w:t>
      </w:r>
      <w:proofErr w:type="spellStart"/>
      <w:r w:rsidRPr="00323FBB">
        <w:rPr>
          <w:rFonts w:ascii="Cambria" w:eastAsia="Calibri" w:hAnsi="Cambria" w:cs="Calibri"/>
          <w:sz w:val="24"/>
          <w:szCs w:val="24"/>
        </w:rPr>
        <w:t>UGHub</w:t>
      </w:r>
      <w:proofErr w:type="spellEnd"/>
      <w:r w:rsidRPr="00323FBB">
        <w:rPr>
          <w:rFonts w:ascii="Cambria" w:eastAsia="Calibri" w:hAnsi="Cambria" w:cs="Calibri"/>
          <w:sz w:val="24"/>
          <w:szCs w:val="24"/>
        </w:rPr>
        <w:t xml:space="preserve"> and the Uganda Bureau of Statistics (UBOS), replacing episodic, error-prone enumeration with continuous, verifiable, village-level reporting.</w:t>
      </w:r>
    </w:p>
    <w:p w14:paraId="066351D9"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The proposal is timely: on 28 July 2026, Uganda re-constituted all 71,214 village executive committees in nationwide LC1 elections, the first since 2018. This is the administrative window in which a new statutory role can be added to existing committees rather than retrofitted mid-term. The brief sets out the evidence base, the legal amendments required, a cost and risk assessment, and a phased implementation path, and recommends that Cabinet authorise a limited pilot ahead of any national commitment.</w:t>
      </w:r>
    </w:p>
    <w:p w14:paraId="2B47B62B" w14:textId="77777777" w:rsidR="00065207" w:rsidRDefault="00000000">
      <w:pPr>
        <w:pStyle w:val="Heading1"/>
        <w:spacing w:before="320" w:after="160"/>
      </w:pPr>
      <w:r>
        <w:t>1. Statement of the Problem</w:t>
      </w:r>
    </w:p>
    <w:p w14:paraId="79245C45" w14:textId="77777777" w:rsidR="00065207" w:rsidRDefault="00000000">
      <w:pPr>
        <w:pStyle w:val="Heading2"/>
        <w:spacing w:before="240" w:after="120"/>
      </w:pPr>
      <w:r>
        <w:t>1.1 The census model is expensive and produces data that is wrong on arrival</w:t>
      </w:r>
    </w:p>
    <w:p w14:paraId="02F4BC4E"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The 2024 National Population and Housing Census was budgeted at UGX 249.3 billion and, after supplementary funding, cost UGX 396.6 billion by the close of the financial year — figures confirmed in the Auditor General's own report on the exercise. UBOS engaged well over 100,000 enumerators and procured approximately 120,000 tablets, at a cost of roughly UGX 132 billion, for what was Uganda's first digital census. The results nonetheless triggered a public credibility crisis: enumerated figures showed the Acholi population falling by approximately 190,000 and the </w:t>
      </w:r>
      <w:proofErr w:type="spellStart"/>
      <w:r w:rsidRPr="00323FBB">
        <w:rPr>
          <w:rFonts w:ascii="Cambria" w:eastAsia="Calibri" w:hAnsi="Cambria" w:cs="Calibri"/>
          <w:sz w:val="24"/>
          <w:szCs w:val="24"/>
        </w:rPr>
        <w:t>Bagisu</w:t>
      </w:r>
      <w:proofErr w:type="spellEnd"/>
      <w:r w:rsidRPr="00323FBB">
        <w:rPr>
          <w:rFonts w:ascii="Cambria" w:eastAsia="Calibri" w:hAnsi="Cambria" w:cs="Calibri"/>
          <w:sz w:val="24"/>
          <w:szCs w:val="24"/>
        </w:rPr>
        <w:t xml:space="preserve"> by approximately 295,000 over the preceding decade, prompting UBOS to acknowledge errors in the released report. The Auditor General separately recorded unresolved non-payment of enumerators, supervisors, and suppliers as an outstanding liability. A census of this cost and consequence occurs once every ten years; for nine of those years, the government plans, allocates, and governs on a figure it already knows to be ageing.</w:t>
      </w:r>
    </w:p>
    <w:p w14:paraId="01E8ABEB" w14:textId="77777777" w:rsidR="00065207" w:rsidRDefault="00000000">
      <w:pPr>
        <w:pStyle w:val="Heading2"/>
        <w:spacing w:before="240" w:after="120"/>
      </w:pPr>
      <w:r>
        <w:lastRenderedPageBreak/>
        <w:t>1.2 Uganda's continuous civil registration system is, on the government's own data, not functioning</w:t>
      </w:r>
    </w:p>
    <w:p w14:paraId="561816F6"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Civil registration and vital statistics (CRVS) — the continuous, permanent recording of births, deaths, and other vital events — is the internationally recognised alternative to periodic censuses, and is the mechanism through which most functioning states keep population data current between counts. Uganda has committed to Sustainable Development Goal indicator 17.19.2, targeting 100 percent birth registration and 80 percent death registration by 2030; UBOS's own 2024 Vital Statistics Report is explicit that this is the benchmark against which the country is being measured. Uganda is not close to it. The National Identification and Registration Authority (NIRA) recorded registration of only about 1 percent of expected deaths nationally in a recent tracked year (3,886 deaths registered against an expected toll of several hundred thousand), while Demographic and Health Survey data put death registration completeness nearer 24 percent — the gap between the two figures is itself evidence that Uganda's administrative registration channel and the events it is meant to capture are only loosely connected. Peer-reviewed research on Uganda's birth registration system found that only 40.4 percent of children under five had registered births as of 2022, against a global average of 77 percent. This is not a data-quality footnote; it is the core justification for continuous, village-level data collection, independent of any argument about census cost. A functioning CRVS system, delivered through a Village Secretary for Data with a standing presence in every community, is the policy instrument through which Uganda would close this gap — the census reform and the CRVS reform are the same reform.</w:t>
      </w:r>
    </w:p>
    <w:p w14:paraId="7535BBDE" w14:textId="77777777" w:rsidR="00065207" w:rsidRDefault="00000000">
      <w:pPr>
        <w:pStyle w:val="Heading2"/>
        <w:spacing w:before="240" w:after="120"/>
      </w:pPr>
      <w:r>
        <w:t>1.3 Government is already improvising a workaround for the gap</w:t>
      </w:r>
    </w:p>
    <w:p w14:paraId="29752A69" w14:textId="77777777" w:rsidR="00065207" w:rsidRDefault="00000000">
      <w:pPr>
        <w:spacing w:after="160" w:line="276" w:lineRule="auto"/>
        <w:jc w:val="both"/>
      </w:pPr>
      <w:r w:rsidRPr="00323FBB">
        <w:rPr>
          <w:rFonts w:ascii="Cambria" w:eastAsia="Calibri" w:hAnsi="Cambria" w:cs="Calibri"/>
          <w:sz w:val="24"/>
          <w:szCs w:val="24"/>
        </w:rPr>
        <w:t>The absence of continuous data is already forcing ad hoc responses. In July 2025, the President directed local authorities in Kampala's five divisions to establish accurate household numbers for Parish Development Model (PDM) planning — three years into a national programme that depends on exactly that data, in the capital city, where data infrastructure is strongest. The Ministry of ICT has separately built the Parish-Based Management Information System (PBMIS) since 2022 specifically to plug this gap for PDM. Government is not failing to recognise the need for continuous data; it is meeting that need through duplicated, siloed, programme-specific systems, each built and paid for separately, none of which feeds UBOS's official statistics. This is the fragmentation this brief proposes to end, not extend</w:t>
      </w:r>
      <w:r>
        <w:rPr>
          <w:rFonts w:ascii="Calibri" w:eastAsia="Calibri" w:hAnsi="Calibri" w:cs="Calibri"/>
          <w:sz w:val="22"/>
          <w:szCs w:val="22"/>
        </w:rPr>
        <w:t>.</w:t>
      </w:r>
    </w:p>
    <w:p w14:paraId="0EE8D43E" w14:textId="77777777" w:rsidR="00065207" w:rsidRDefault="00000000">
      <w:pPr>
        <w:pStyle w:val="Heading1"/>
        <w:spacing w:before="320" w:after="160"/>
      </w:pPr>
      <w:r>
        <w:t>2. Evidence Base</w:t>
      </w:r>
    </w:p>
    <w:p w14:paraId="1522F6B0" w14:textId="77777777" w:rsidR="00065207" w:rsidRDefault="00000000">
      <w:pPr>
        <w:pStyle w:val="Heading2"/>
        <w:spacing w:before="240" w:after="120"/>
      </w:pPr>
      <w:r>
        <w:t>2.1 Continuous data collection is the accepted global standard, not an experimental departure</w:t>
      </w:r>
    </w:p>
    <w:p w14:paraId="795E7F32" w14:textId="77777777" w:rsidR="00065207" w:rsidRDefault="00000000">
      <w:pPr>
        <w:spacing w:after="160" w:line="276" w:lineRule="auto"/>
        <w:jc w:val="both"/>
      </w:pPr>
      <w:r w:rsidRPr="00323FBB">
        <w:rPr>
          <w:rFonts w:ascii="Cambria" w:eastAsia="Calibri" w:hAnsi="Cambria" w:cs="Calibri"/>
          <w:sz w:val="24"/>
          <w:szCs w:val="24"/>
        </w:rPr>
        <w:lastRenderedPageBreak/>
        <w:t>The move from periodic to continuous population data collection is not a Uganda-specific proposal; it is the documented direction of official statistics internationally, with a substantial evidence base behind it. Germany's Federal Statistical Office publishes experimental population estimates at 1×1 kilometre resolution annually, using anonymised mobile network data, precisely to avoid the staleness problem inherent in decennial counts. India's 2027 census — the world's largest statistical exercise — will be conducted digitally with self-enumeration and mobile-based data capture. The World Bank and UNICEF, through the Global CRVS programme, treat continuous civil registration as the baseline infrastructure every country should maintain, with periodic censuses serving a narrower validation role rather than</w:t>
      </w:r>
      <w:r>
        <w:rPr>
          <w:rFonts w:ascii="Calibri" w:eastAsia="Calibri" w:hAnsi="Calibri" w:cs="Calibri"/>
          <w:sz w:val="22"/>
          <w:szCs w:val="22"/>
        </w:rPr>
        <w:t xml:space="preserve"> acting as the primary data source. Uganda proposing to close its CRVS gap through a continuously staffed village-level channel is aligning with established practice, not deviating from it.</w:t>
      </w:r>
    </w:p>
    <w:p w14:paraId="3942A962" w14:textId="77777777" w:rsidR="00065207" w:rsidRDefault="00000000">
      <w:pPr>
        <w:pStyle w:val="Heading2"/>
        <w:spacing w:before="240" w:after="120"/>
      </w:pPr>
      <w:r>
        <w:t>2.2 The proposed interface has been tested under experimental conditions, not merely deployed anecdotally</w:t>
      </w:r>
    </w:p>
    <w:p w14:paraId="4D68F722"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A central design question is whether WhatsApp-based structured submission is a credible channel for official data collection. This has been directly tested. A randomised controlled trial conducted by Stanford University's Immigration Policy Lab and Innovations for Poverty Action, covering 2,410 Venezuelan refugees and migrants in Colombia, found WhatsApp-based surveys achieved a 55 percent response rate — 27 percentage points higher than SMS and 12 points higher than interactive voice response — with higher completion rates and lower marginal cost per response. Comparable results were reported by the International Organization for Migration in survey work in Senegal and Guinea. This is experimental, not observational, evidence, and it directly supports the feasibility of the proposed submission channel for a population that, like Uganda's rural villages, has high mobile penetration but uneven formal literacy and infrastructure.</w:t>
      </w:r>
    </w:p>
    <w:p w14:paraId="4EDDA7B8" w14:textId="77777777" w:rsidR="00065207" w:rsidRDefault="00000000">
      <w:pPr>
        <w:pStyle w:val="Heading2"/>
        <w:spacing w:before="240" w:after="120"/>
      </w:pPr>
      <w:r>
        <w:t>2.3 Granular API scoping is an established, auditable security pattern, not a novel claim</w:t>
      </w:r>
    </w:p>
    <w:p w14:paraId="28782BEA" w14:textId="77777777" w:rsidR="00065207" w:rsidRDefault="00000000">
      <w:pPr>
        <w:spacing w:after="160" w:line="276" w:lineRule="auto"/>
        <w:jc w:val="both"/>
      </w:pPr>
      <w:r>
        <w:rPr>
          <w:rFonts w:ascii="Calibri" w:eastAsia="Calibri" w:hAnsi="Calibri" w:cs="Calibri"/>
          <w:sz w:val="22"/>
          <w:szCs w:val="22"/>
        </w:rPr>
        <w:t>The sovereignty safeguard proposed here — a WhatsApp Business API restricted to write-only, non-</w:t>
      </w:r>
      <w:proofErr w:type="spellStart"/>
      <w:r>
        <w:rPr>
          <w:rFonts w:ascii="Calibri" w:eastAsia="Calibri" w:hAnsi="Calibri" w:cs="Calibri"/>
          <w:sz w:val="22"/>
          <w:szCs w:val="22"/>
        </w:rPr>
        <w:t>queryable</w:t>
      </w:r>
      <w:proofErr w:type="spellEnd"/>
      <w:r>
        <w:rPr>
          <w:rFonts w:ascii="Calibri" w:eastAsia="Calibri" w:hAnsi="Calibri" w:cs="Calibri"/>
          <w:sz w:val="22"/>
          <w:szCs w:val="22"/>
        </w:rPr>
        <w:t xml:space="preserve"> transmission into </w:t>
      </w:r>
      <w:proofErr w:type="spellStart"/>
      <w:r>
        <w:rPr>
          <w:rFonts w:ascii="Calibri" w:eastAsia="Calibri" w:hAnsi="Calibri" w:cs="Calibri"/>
          <w:sz w:val="22"/>
          <w:szCs w:val="22"/>
        </w:rPr>
        <w:t>UGHub</w:t>
      </w:r>
      <w:proofErr w:type="spellEnd"/>
      <w:r>
        <w:rPr>
          <w:rFonts w:ascii="Calibri" w:eastAsia="Calibri" w:hAnsi="Calibri" w:cs="Calibri"/>
          <w:sz w:val="22"/>
          <w:szCs w:val="22"/>
        </w:rPr>
        <w:t xml:space="preserve"> — rests on the same architectural principle used by Singapore's APEX gateway, which connects over 45 government agencies through more than 2,000 individually scoped APIs and processes upward of 100 million transactions monthly, and by Estonia's X-Road, now adopted by Finland, Iceland, and Japan. In both cases, the security guarantee is not that the third-party channel is trusted, but that it is architecturally incapable of doing anything beyond its </w:t>
      </w:r>
      <w:proofErr w:type="gramStart"/>
      <w:r>
        <w:rPr>
          <w:rFonts w:ascii="Calibri" w:eastAsia="Calibri" w:hAnsi="Calibri" w:cs="Calibri"/>
          <w:sz w:val="22"/>
          <w:szCs w:val="22"/>
        </w:rPr>
        <w:t>narrow authorised</w:t>
      </w:r>
      <w:proofErr w:type="gramEnd"/>
      <w:r>
        <w:rPr>
          <w:rFonts w:ascii="Calibri" w:eastAsia="Calibri" w:hAnsi="Calibri" w:cs="Calibri"/>
          <w:sz w:val="22"/>
          <w:szCs w:val="22"/>
        </w:rPr>
        <w:t xml:space="preserve"> function. This is a well-documented pattern in public-sector interoperability design, and Uganda's own </w:t>
      </w:r>
      <w:proofErr w:type="spellStart"/>
      <w:r>
        <w:rPr>
          <w:rFonts w:ascii="Calibri" w:eastAsia="Calibri" w:hAnsi="Calibri" w:cs="Calibri"/>
          <w:sz w:val="22"/>
          <w:szCs w:val="22"/>
        </w:rPr>
        <w:t>UGHub</w:t>
      </w:r>
      <w:proofErr w:type="spellEnd"/>
      <w:r>
        <w:rPr>
          <w:rFonts w:ascii="Calibri" w:eastAsia="Calibri" w:hAnsi="Calibri" w:cs="Calibri"/>
          <w:sz w:val="22"/>
          <w:szCs w:val="22"/>
        </w:rPr>
        <w:t>, already connecting over 150 entities, is built on the same category of infrastructure. The policy question is one of correctly scoping an existing capability, not building a new one.</w:t>
      </w:r>
    </w:p>
    <w:p w14:paraId="25398354" w14:textId="77777777" w:rsidR="00065207" w:rsidRDefault="00000000">
      <w:pPr>
        <w:pStyle w:val="Heading1"/>
        <w:spacing w:before="320" w:after="160"/>
      </w:pPr>
      <w:r>
        <w:t>3. Policy Proposal</w:t>
      </w:r>
    </w:p>
    <w:p w14:paraId="2A7006C2"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Establish Secretary for Data as a statutory position on every LC1 village executive committee, alongside the existing secretaries for youth, women, security, and production, under Section </w:t>
      </w:r>
      <w:r w:rsidRPr="00323FBB">
        <w:rPr>
          <w:rFonts w:ascii="Cambria" w:eastAsia="Calibri" w:hAnsi="Cambria" w:cs="Calibri"/>
          <w:sz w:val="24"/>
          <w:szCs w:val="24"/>
        </w:rPr>
        <w:lastRenderedPageBreak/>
        <w:t xml:space="preserve">49 of the Local Governments Act (Cap. 138). The Secretary for Data would be appointed by the LC1 chairperson, supervised by the parish chief, and equipped with a tablet drawn from the approximately 120,000 units already procured for the 2024 census, a power bank, and a data allowance. The role's function is continuous recording — births, deaths, employment status changes, household composition, PDM beneficiary data, school-going children — submitted through a structured WhatsApp interface into </w:t>
      </w:r>
      <w:proofErr w:type="spellStart"/>
      <w:r w:rsidRPr="00323FBB">
        <w:rPr>
          <w:rFonts w:ascii="Cambria" w:eastAsia="Calibri" w:hAnsi="Cambria" w:cs="Calibri"/>
          <w:sz w:val="24"/>
          <w:szCs w:val="24"/>
        </w:rPr>
        <w:t>UGHub</w:t>
      </w:r>
      <w:proofErr w:type="spellEnd"/>
      <w:r w:rsidRPr="00323FBB">
        <w:rPr>
          <w:rFonts w:ascii="Cambria" w:eastAsia="Calibri" w:hAnsi="Cambria" w:cs="Calibri"/>
          <w:sz w:val="24"/>
          <w:szCs w:val="24"/>
        </w:rPr>
        <w:t xml:space="preserve"> and onward to UBOS, NIRA, and the Ministry of Local Government as appropriate.</w:t>
      </w:r>
    </w:p>
    <w:p w14:paraId="26C000C4"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The architecture separates interface from infrastructure: the Village Secretary submits data via WhatsApp; the WhatsApp Business API is scoped to write-only, authenticated submission with no read, query, or search capability against the UBOS database; </w:t>
      </w:r>
      <w:proofErr w:type="spellStart"/>
      <w:r w:rsidRPr="00323FBB">
        <w:rPr>
          <w:rFonts w:ascii="Cambria" w:eastAsia="Calibri" w:hAnsi="Cambria" w:cs="Calibri"/>
          <w:sz w:val="24"/>
          <w:szCs w:val="24"/>
        </w:rPr>
        <w:t>UGHub</w:t>
      </w:r>
      <w:proofErr w:type="spellEnd"/>
      <w:r w:rsidRPr="00323FBB">
        <w:rPr>
          <w:rFonts w:ascii="Cambria" w:eastAsia="Calibri" w:hAnsi="Cambria" w:cs="Calibri"/>
          <w:sz w:val="24"/>
          <w:szCs w:val="24"/>
        </w:rPr>
        <w:t xml:space="preserve"> enforces this scoping and routes validated submissions into UBOS-controlled infrastructure hosted in Uganda. Meta, as the interface provider, sees only encrypted transit traffic and is contractually and architecturally excluded from the underlying data store.</w:t>
      </w:r>
    </w:p>
    <w:p w14:paraId="2EEA3333"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This proposal gains particular force from timing. All 71,214 village executive committees were re-constituted on 28 July 2026. A legislative decision taken in this Parliamentary term can populate the Secretary for Data role across every village simultaneously, using committees and chairpersons already in place, rather than waiting for the next LC1 election cycle.</w:t>
      </w:r>
    </w:p>
    <w:p w14:paraId="69BAF6C1" w14:textId="77777777" w:rsidR="00065207" w:rsidRDefault="00000000">
      <w:pPr>
        <w:pStyle w:val="Heading1"/>
        <w:spacing w:before="320" w:after="160"/>
      </w:pPr>
      <w:r>
        <w:t>4. Legal and Regulatory Amendments Required</w:t>
      </w:r>
    </w:p>
    <w:p w14:paraId="4499320A" w14:textId="77777777" w:rsidR="00065207" w:rsidRPr="00323FBB" w:rsidRDefault="00000000">
      <w:pPr>
        <w:pStyle w:val="ListParagraph"/>
        <w:numPr>
          <w:ilvl w:val="0"/>
          <w:numId w:val="2"/>
        </w:numPr>
        <w:spacing w:after="100" w:line="276" w:lineRule="auto"/>
        <w:rPr>
          <w:rFonts w:ascii="Cambria" w:hAnsi="Cambria"/>
          <w:sz w:val="24"/>
          <w:szCs w:val="24"/>
        </w:rPr>
      </w:pPr>
      <w:r w:rsidRPr="00323FBB">
        <w:rPr>
          <w:rFonts w:ascii="Cambria" w:eastAsia="Calibri" w:hAnsi="Cambria" w:cs="Calibri"/>
          <w:sz w:val="24"/>
          <w:szCs w:val="24"/>
        </w:rPr>
        <w:t>Uganda Bureau of Statistics Act (Cap. 333): empower UBOS to register and credential Village Data Secretaries as authorised data collectors, and recognise continuous electronic submission via API as a valid collection method alongside periodic censuses.</w:t>
      </w:r>
    </w:p>
    <w:p w14:paraId="44218100" w14:textId="77777777" w:rsidR="00065207" w:rsidRPr="00323FBB" w:rsidRDefault="00000000">
      <w:pPr>
        <w:pStyle w:val="ListParagraph"/>
        <w:numPr>
          <w:ilvl w:val="0"/>
          <w:numId w:val="2"/>
        </w:numPr>
        <w:spacing w:after="100" w:line="276" w:lineRule="auto"/>
        <w:rPr>
          <w:rFonts w:ascii="Cambria" w:hAnsi="Cambria"/>
          <w:sz w:val="24"/>
          <w:szCs w:val="24"/>
        </w:rPr>
      </w:pPr>
      <w:r w:rsidRPr="00323FBB">
        <w:rPr>
          <w:rFonts w:ascii="Cambria" w:eastAsia="Calibri" w:hAnsi="Cambria" w:cs="Calibri"/>
          <w:sz w:val="24"/>
          <w:szCs w:val="24"/>
        </w:rPr>
        <w:t>Local Governments Act (Cap. 138): add Secretary for Data to the statutory village executive committee positions under Section 47, with functions specified under Section 52.</w:t>
      </w:r>
    </w:p>
    <w:p w14:paraId="545EAEE5" w14:textId="77777777" w:rsidR="00065207" w:rsidRPr="00323FBB" w:rsidRDefault="00000000">
      <w:pPr>
        <w:pStyle w:val="ListParagraph"/>
        <w:numPr>
          <w:ilvl w:val="0"/>
          <w:numId w:val="2"/>
        </w:numPr>
        <w:spacing w:after="100" w:line="276" w:lineRule="auto"/>
        <w:rPr>
          <w:rFonts w:ascii="Cambria" w:hAnsi="Cambria"/>
          <w:sz w:val="24"/>
          <w:szCs w:val="24"/>
        </w:rPr>
      </w:pPr>
      <w:r w:rsidRPr="00323FBB">
        <w:rPr>
          <w:rFonts w:ascii="Cambria" w:eastAsia="Calibri" w:hAnsi="Cambria" w:cs="Calibri"/>
          <w:sz w:val="24"/>
          <w:szCs w:val="24"/>
        </w:rPr>
        <w:t>Data Protection and Privacy Act (Cap. 97): create a narrow exception under Section 19 for encrypted, write-only, non-retained transmission of official statistics data through third-party interfaces, conditioned on end-to-end encryption, granular API scoping, and no further processing by the platform provider; designate UBOS as data controller and the platform providers as data processors under Section 2.</w:t>
      </w:r>
    </w:p>
    <w:p w14:paraId="4F68757C" w14:textId="77777777" w:rsidR="00065207" w:rsidRPr="00323FBB" w:rsidRDefault="00000000">
      <w:pPr>
        <w:pStyle w:val="ListParagraph"/>
        <w:numPr>
          <w:ilvl w:val="0"/>
          <w:numId w:val="2"/>
        </w:numPr>
        <w:spacing w:after="100" w:line="276" w:lineRule="auto"/>
        <w:rPr>
          <w:rFonts w:ascii="Cambria" w:hAnsi="Cambria"/>
          <w:sz w:val="24"/>
          <w:szCs w:val="24"/>
        </w:rPr>
      </w:pPr>
      <w:r w:rsidRPr="00323FBB">
        <w:rPr>
          <w:rFonts w:ascii="Cambria" w:eastAsia="Calibri" w:hAnsi="Cambria" w:cs="Calibri"/>
          <w:sz w:val="24"/>
          <w:szCs w:val="24"/>
        </w:rPr>
        <w:t>Computer Misuse Act (Cap. 96): existing Sections 12, 14, and 19 already cover unauthorised access and data fabrication; a specific statistical-falsification offence may be added to signal the seriousness of the function, though it is not strictly required.</w:t>
      </w:r>
    </w:p>
    <w:p w14:paraId="756FFE45"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lastRenderedPageBreak/>
        <w:t>These are targeted amendments to existing legislation rather than a new regulatory regime, which materially limits the legislative burden and timeline required to act.</w:t>
      </w:r>
    </w:p>
    <w:p w14:paraId="647A904E" w14:textId="77777777" w:rsidR="00065207" w:rsidRDefault="00000000">
      <w:pPr>
        <w:pStyle w:val="Heading1"/>
        <w:spacing w:before="320" w:after="160"/>
      </w:pPr>
      <w:r>
        <w:t>5. Cost and Value Assessment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00"/>
        <w:gridCol w:w="3000"/>
      </w:tblGrid>
      <w:tr w:rsidR="00065207" w14:paraId="4CBC8C99" w14:textId="77777777">
        <w:tblPrEx>
          <w:tblCellMar>
            <w:top w:w="0" w:type="dxa"/>
            <w:bottom w:w="0" w:type="dxa"/>
          </w:tblCellMar>
        </w:tblPrEx>
        <w:trPr>
          <w:tblHeader/>
        </w:trPr>
        <w:tc>
          <w:tcPr>
            <w:tcW w:w="3350" w:type="dxa"/>
            <w:shd w:val="clear" w:color="auto" w:fill="1F3864"/>
            <w:tcMar>
              <w:top w:w="100" w:type="dxa"/>
              <w:left w:w="120" w:type="dxa"/>
              <w:bottom w:w="100" w:type="dxa"/>
              <w:right w:w="120" w:type="dxa"/>
            </w:tcMar>
          </w:tcPr>
          <w:p w14:paraId="4CFEE843" w14:textId="77777777" w:rsidR="00065207" w:rsidRDefault="00000000">
            <w:r>
              <w:rPr>
                <w:rFonts w:ascii="Calibri" w:eastAsia="Calibri" w:hAnsi="Calibri" w:cs="Calibri"/>
                <w:b/>
                <w:bCs/>
                <w:color w:val="FFFFFF"/>
              </w:rPr>
              <w:t>Model</w:t>
            </w:r>
          </w:p>
        </w:tc>
        <w:tc>
          <w:tcPr>
            <w:tcW w:w="3000" w:type="dxa"/>
            <w:shd w:val="clear" w:color="auto" w:fill="1F3864"/>
            <w:tcMar>
              <w:top w:w="100" w:type="dxa"/>
              <w:left w:w="120" w:type="dxa"/>
              <w:bottom w:w="100" w:type="dxa"/>
              <w:right w:w="120" w:type="dxa"/>
            </w:tcMar>
          </w:tcPr>
          <w:p w14:paraId="6A2129B4" w14:textId="77777777" w:rsidR="00065207" w:rsidRDefault="00000000">
            <w:r>
              <w:rPr>
                <w:rFonts w:ascii="Calibri" w:eastAsia="Calibri" w:hAnsi="Calibri" w:cs="Calibri"/>
                <w:b/>
                <w:bCs/>
                <w:color w:val="FFFFFF"/>
              </w:rPr>
              <w:t>Annual Cost (UGX)</w:t>
            </w:r>
          </w:p>
        </w:tc>
        <w:tc>
          <w:tcPr>
            <w:tcW w:w="3000" w:type="dxa"/>
            <w:shd w:val="clear" w:color="auto" w:fill="1F3864"/>
            <w:tcMar>
              <w:top w:w="100" w:type="dxa"/>
              <w:left w:w="120" w:type="dxa"/>
              <w:bottom w:w="100" w:type="dxa"/>
              <w:right w:w="120" w:type="dxa"/>
            </w:tcMar>
          </w:tcPr>
          <w:p w14:paraId="1549D6A7" w14:textId="77777777" w:rsidR="00065207" w:rsidRDefault="00000000">
            <w:r>
              <w:rPr>
                <w:rFonts w:ascii="Calibri" w:eastAsia="Calibri" w:hAnsi="Calibri" w:cs="Calibri"/>
                <w:b/>
                <w:bCs/>
                <w:color w:val="FFFFFF"/>
              </w:rPr>
              <w:t>Data Currency</w:t>
            </w:r>
          </w:p>
        </w:tc>
      </w:tr>
      <w:tr w:rsidR="00065207" w14:paraId="3B34B362" w14:textId="77777777">
        <w:tblPrEx>
          <w:tblCellMar>
            <w:top w:w="0" w:type="dxa"/>
            <w:bottom w:w="0" w:type="dxa"/>
          </w:tblCellMar>
        </w:tblPrEx>
        <w:tc>
          <w:tcPr>
            <w:tcW w:w="3350" w:type="dxa"/>
            <w:tcMar>
              <w:top w:w="100" w:type="dxa"/>
              <w:left w:w="120" w:type="dxa"/>
              <w:bottom w:w="100" w:type="dxa"/>
              <w:right w:w="120" w:type="dxa"/>
            </w:tcMar>
          </w:tcPr>
          <w:p w14:paraId="786AB1CE" w14:textId="77777777" w:rsidR="00065207" w:rsidRDefault="00000000">
            <w:r>
              <w:rPr>
                <w:rFonts w:ascii="Calibri" w:eastAsia="Calibri" w:hAnsi="Calibri" w:cs="Calibri"/>
                <w:color w:val="000000"/>
              </w:rPr>
              <w:t>2024 Census (audited, one-off)</w:t>
            </w:r>
          </w:p>
        </w:tc>
        <w:tc>
          <w:tcPr>
            <w:tcW w:w="3000" w:type="dxa"/>
            <w:tcMar>
              <w:top w:w="100" w:type="dxa"/>
              <w:left w:w="120" w:type="dxa"/>
              <w:bottom w:w="100" w:type="dxa"/>
              <w:right w:w="120" w:type="dxa"/>
            </w:tcMar>
          </w:tcPr>
          <w:p w14:paraId="30341F14" w14:textId="77777777" w:rsidR="00065207" w:rsidRDefault="00000000">
            <w:r>
              <w:rPr>
                <w:rFonts w:ascii="Calibri" w:eastAsia="Calibri" w:hAnsi="Calibri" w:cs="Calibri"/>
                <w:color w:val="000000"/>
              </w:rPr>
              <w:t>396.6 billion, amortised over 10 years ≈ 40 billion/year</w:t>
            </w:r>
          </w:p>
        </w:tc>
        <w:tc>
          <w:tcPr>
            <w:tcW w:w="3000" w:type="dxa"/>
            <w:tcMar>
              <w:top w:w="100" w:type="dxa"/>
              <w:left w:w="120" w:type="dxa"/>
              <w:bottom w:w="100" w:type="dxa"/>
              <w:right w:w="120" w:type="dxa"/>
            </w:tcMar>
          </w:tcPr>
          <w:p w14:paraId="5A9903D4" w14:textId="77777777" w:rsidR="00065207" w:rsidRDefault="00000000">
            <w:r>
              <w:rPr>
                <w:rFonts w:ascii="Calibri" w:eastAsia="Calibri" w:hAnsi="Calibri" w:cs="Calibri"/>
                <w:color w:val="000000"/>
              </w:rPr>
              <w:t>Up to 10 years stale</w:t>
            </w:r>
          </w:p>
        </w:tc>
      </w:tr>
      <w:tr w:rsidR="00065207" w14:paraId="01AC2065" w14:textId="77777777">
        <w:tblPrEx>
          <w:tblCellMar>
            <w:top w:w="0" w:type="dxa"/>
            <w:bottom w:w="0" w:type="dxa"/>
          </w:tblCellMar>
        </w:tblPrEx>
        <w:tc>
          <w:tcPr>
            <w:tcW w:w="3350" w:type="dxa"/>
            <w:tcMar>
              <w:top w:w="100" w:type="dxa"/>
              <w:left w:w="120" w:type="dxa"/>
              <w:bottom w:w="100" w:type="dxa"/>
              <w:right w:w="120" w:type="dxa"/>
            </w:tcMar>
          </w:tcPr>
          <w:p w14:paraId="6FD2887F" w14:textId="77777777" w:rsidR="00065207" w:rsidRDefault="00000000">
            <w:r>
              <w:rPr>
                <w:rFonts w:ascii="Calibri" w:eastAsia="Calibri" w:hAnsi="Calibri" w:cs="Calibri"/>
                <w:color w:val="000000"/>
              </w:rPr>
              <w:t>Village Secretary for Data (proposed)</w:t>
            </w:r>
          </w:p>
        </w:tc>
        <w:tc>
          <w:tcPr>
            <w:tcW w:w="3000" w:type="dxa"/>
            <w:tcMar>
              <w:top w:w="100" w:type="dxa"/>
              <w:left w:w="120" w:type="dxa"/>
              <w:bottom w:w="100" w:type="dxa"/>
              <w:right w:w="120" w:type="dxa"/>
            </w:tcMar>
          </w:tcPr>
          <w:p w14:paraId="7ACB5E6E" w14:textId="77777777" w:rsidR="00065207" w:rsidRDefault="00000000">
            <w:r>
              <w:rPr>
                <w:rFonts w:ascii="Calibri" w:eastAsia="Calibri" w:hAnsi="Calibri" w:cs="Calibri"/>
                <w:color w:val="000000"/>
              </w:rPr>
              <w:t>≈ 135–140 billion/year (105bn salaries + 30–35bn connectivity/power)</w:t>
            </w:r>
          </w:p>
        </w:tc>
        <w:tc>
          <w:tcPr>
            <w:tcW w:w="3000" w:type="dxa"/>
            <w:tcMar>
              <w:top w:w="100" w:type="dxa"/>
              <w:left w:w="120" w:type="dxa"/>
              <w:bottom w:w="100" w:type="dxa"/>
              <w:right w:w="120" w:type="dxa"/>
            </w:tcMar>
          </w:tcPr>
          <w:p w14:paraId="66F28A2F" w14:textId="77777777" w:rsidR="00065207" w:rsidRDefault="00000000">
            <w:r>
              <w:rPr>
                <w:rFonts w:ascii="Calibri" w:eastAsia="Calibri" w:hAnsi="Calibri" w:cs="Calibri"/>
                <w:color w:val="000000"/>
              </w:rPr>
              <w:t>Continuous / near real-time</w:t>
            </w:r>
          </w:p>
        </w:tc>
      </w:tr>
    </w:tbl>
    <w:p w14:paraId="436364B5" w14:textId="77777777" w:rsidR="00065207" w:rsidRDefault="00000000">
      <w:pPr>
        <w:spacing w:after="240"/>
      </w:pPr>
      <w:r>
        <w:rPr>
          <w:rFonts w:ascii="Calibri" w:eastAsia="Calibri" w:hAnsi="Calibri" w:cs="Calibri"/>
          <w:i/>
          <w:iCs/>
          <w:color w:val="555555"/>
          <w:sz w:val="18"/>
          <w:szCs w:val="18"/>
        </w:rPr>
        <w:t>Cost comparison is illustrative and should be validated against actual FY2026/27 UBOS and Ministry of Local Government budget lines before Cabinet submission.</w:t>
      </w:r>
    </w:p>
    <w:p w14:paraId="571B5F6D"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The continuous model costs more in raw annual terms than the amortised cost of a decennial census. That comparison is only complete, however, if the Village Secretary for Data replaces rather than duplicates existing parallel systems — principally PBMIS and equivalent programme-specific registries — and becomes the single feed for PDM, vital statistics, and future census validation. The tablets required are already procured; </w:t>
      </w:r>
      <w:proofErr w:type="spellStart"/>
      <w:r w:rsidRPr="00323FBB">
        <w:rPr>
          <w:rFonts w:ascii="Cambria" w:eastAsia="Calibri" w:hAnsi="Cambria" w:cs="Calibri"/>
          <w:sz w:val="24"/>
          <w:szCs w:val="24"/>
        </w:rPr>
        <w:t>UGHub</w:t>
      </w:r>
      <w:proofErr w:type="spellEnd"/>
      <w:r w:rsidRPr="00323FBB">
        <w:rPr>
          <w:rFonts w:ascii="Cambria" w:eastAsia="Calibri" w:hAnsi="Cambria" w:cs="Calibri"/>
          <w:sz w:val="24"/>
          <w:szCs w:val="24"/>
        </w:rPr>
        <w:t xml:space="preserve"> is operational; the marginal infrastructure cost is the connectivity, power, and honorarium layer, not new hardware or a new national data platform. The comparison Cabinet should evaluate is not "census cost versus new programme cost" but "total current spend across UBOS, NIRA, and PDM data systems versus one consolidated channel."</w:t>
      </w:r>
    </w:p>
    <w:p w14:paraId="5028CA1D" w14:textId="77777777" w:rsidR="00065207" w:rsidRDefault="00000000">
      <w:pPr>
        <w:pStyle w:val="Heading1"/>
        <w:spacing w:before="320" w:after="160"/>
      </w:pPr>
      <w:r>
        <w:t>6. Risk Assessment and Mitigation</w:t>
      </w:r>
    </w:p>
    <w:p w14:paraId="47DE9B7E" w14:textId="77777777" w:rsidR="00065207" w:rsidRDefault="00000000">
      <w:pPr>
        <w:pStyle w:val="Heading2"/>
        <w:spacing w:before="240" w:after="120"/>
      </w:pPr>
      <w:r>
        <w:t>6.1 Institutional sustainability</w:t>
      </w:r>
    </w:p>
    <w:p w14:paraId="42000C43"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Uganda's own recent record is the relevant caution here: LC1 elections went </w:t>
      </w:r>
      <w:proofErr w:type="spellStart"/>
      <w:r w:rsidRPr="00323FBB">
        <w:rPr>
          <w:rFonts w:ascii="Cambria" w:eastAsia="Calibri" w:hAnsi="Cambria" w:cs="Calibri"/>
          <w:sz w:val="24"/>
          <w:szCs w:val="24"/>
        </w:rPr>
        <w:t>unheld</w:t>
      </w:r>
      <w:proofErr w:type="spellEnd"/>
      <w:r w:rsidRPr="00323FBB">
        <w:rPr>
          <w:rFonts w:ascii="Cambria" w:eastAsia="Calibri" w:hAnsi="Cambria" w:cs="Calibri"/>
          <w:sz w:val="24"/>
          <w:szCs w:val="24"/>
        </w:rPr>
        <w:t xml:space="preserve"> for eight years due to recurring funding shortfalls, with the Electoral Commission citing repeated postponements before this year's vote was finally funded. A continuous, UGX 135–140 billion annual commitment carries real risk of the same funding volatility. Mitigation: ring-fence Village Secretary for Data financing within the Local Government Sector budget as a protected recurrent line, separate from discretionary local government transfers, and report disbursement performance to Parliament annually alongside PDM disbursement reporting.</w:t>
      </w:r>
    </w:p>
    <w:p w14:paraId="16E337DD" w14:textId="77777777" w:rsidR="00065207" w:rsidRDefault="00000000">
      <w:pPr>
        <w:pStyle w:val="Heading2"/>
        <w:spacing w:before="240" w:after="120"/>
      </w:pPr>
      <w:r>
        <w:t>6.2 Political-incentive risk in politically sensitive data categories</w:t>
      </w:r>
    </w:p>
    <w:p w14:paraId="25E2E4BD"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 xml:space="preserve">LC1 chairpersons elected under a competitive, party-affiliated process would appoint the Secretary for Data under the current proposal. Population and household counts feed resource-allocation formulas and are not politically neutral — the 2024 census undercount controversy illustrates the stakes. Deterrence framed solely around individual fraud </w:t>
      </w:r>
      <w:r w:rsidRPr="00323FBB">
        <w:rPr>
          <w:rFonts w:ascii="Cambria" w:eastAsia="Calibri" w:hAnsi="Cambria" w:cs="Calibri"/>
          <w:sz w:val="24"/>
          <w:szCs w:val="24"/>
        </w:rPr>
        <w:lastRenderedPageBreak/>
        <w:t>(Computer Misuse Act penalties, parish spot checks) does not address slower, more defensible statistical drift in politically salient figures. Mitigation: UBOS should run independent, automated cross-village statistical plausibility checks (flagging anomalous year-on-year shifts for manual review) and retain audit authority that sits outside the local political chain of supervision, reporting through the parish chief system but escalating to UBOS's own Data Quality Unit rather than terminating at district level.</w:t>
      </w:r>
    </w:p>
    <w:p w14:paraId="0C6DFD22" w14:textId="77777777" w:rsidR="00065207" w:rsidRDefault="00000000">
      <w:pPr>
        <w:pStyle w:val="Heading2"/>
        <w:spacing w:before="240" w:after="120"/>
      </w:pPr>
      <w:r>
        <w:t>6.3 Connectivity and infrastructure gaps</w:t>
      </w:r>
    </w:p>
    <w:p w14:paraId="7294A5FD" w14:textId="77777777" w:rsidR="00065207" w:rsidRPr="00323FBB" w:rsidRDefault="00000000">
      <w:pPr>
        <w:spacing w:after="160" w:line="276" w:lineRule="auto"/>
        <w:jc w:val="both"/>
        <w:rPr>
          <w:rFonts w:ascii="Cambria" w:hAnsi="Cambria"/>
          <w:sz w:val="24"/>
          <w:szCs w:val="24"/>
        </w:rPr>
      </w:pPr>
      <w:proofErr w:type="spellStart"/>
      <w:r w:rsidRPr="00323FBB">
        <w:rPr>
          <w:rFonts w:ascii="Cambria" w:eastAsia="Calibri" w:hAnsi="Cambria" w:cs="Calibri"/>
          <w:sz w:val="24"/>
          <w:szCs w:val="24"/>
        </w:rPr>
        <w:t>UGHub's</w:t>
      </w:r>
      <w:proofErr w:type="spellEnd"/>
      <w:r w:rsidRPr="00323FBB">
        <w:rPr>
          <w:rFonts w:ascii="Cambria" w:eastAsia="Calibri" w:hAnsi="Cambria" w:cs="Calibri"/>
          <w:sz w:val="24"/>
          <w:szCs w:val="24"/>
        </w:rPr>
        <w:t xml:space="preserve"> backbone connectivity currently reaches 53 of Uganda's 146 districts under the National Backbone Infrastructure project. National rollout is contingent on infrastructure that does not yet exist everywhere. Mitigation: sequence national scale-up to districts with confirmed connectivity first, using offline-capable data caching on the tablet with delayed synchronisation for districts pending backbone coverage.</w:t>
      </w:r>
    </w:p>
    <w:p w14:paraId="4BB0D44B" w14:textId="77777777" w:rsidR="00065207" w:rsidRDefault="00000000">
      <w:pPr>
        <w:pStyle w:val="Heading2"/>
        <w:spacing w:before="240" w:after="120"/>
      </w:pPr>
      <w:r>
        <w:t>6.4 Data protection and cross-border transfer</w:t>
      </w:r>
    </w:p>
    <w:p w14:paraId="59CD24F9"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The Data Protection and Privacy Act's Section 19 requirement for either an adequacy finding or consent is not automatically satisfied by architecture alone. Mitigation: the legislative exception proposed in Section 4 above must be paired with a binding, enforceable data-processing agreement with Meta covering the WhatsApp Business API traffic, reviewed by the Personal Data Protection Office before any pilot data collection begins — not treated as a formality to be resolved after rollout.</w:t>
      </w:r>
    </w:p>
    <w:p w14:paraId="2E105B98" w14:textId="77777777" w:rsidR="00065207" w:rsidRDefault="00000000">
      <w:pPr>
        <w:pStyle w:val="Heading1"/>
        <w:spacing w:before="320" w:after="160"/>
      </w:pPr>
      <w:r>
        <w:t>7. Implementation Roadmap</w:t>
      </w:r>
    </w:p>
    <w:p w14:paraId="4496A8B7" w14:textId="77777777" w:rsidR="00065207" w:rsidRDefault="00000000">
      <w:pPr>
        <w:pStyle w:val="Heading2"/>
        <w:spacing w:before="240" w:after="120"/>
      </w:pPr>
      <w:r>
        <w:t>Phase 1 — Legislative (2026/27)</w:t>
      </w:r>
    </w:p>
    <w:p w14:paraId="62D34DCB" w14:textId="77777777" w:rsidR="00065207" w:rsidRPr="00323FBB" w:rsidRDefault="00000000">
      <w:pPr>
        <w:spacing w:after="160" w:line="276" w:lineRule="auto"/>
        <w:jc w:val="both"/>
        <w:rPr>
          <w:sz w:val="24"/>
          <w:szCs w:val="24"/>
        </w:rPr>
      </w:pPr>
      <w:r w:rsidRPr="00323FBB">
        <w:rPr>
          <w:rFonts w:ascii="Calibri" w:eastAsia="Calibri" w:hAnsi="Calibri" w:cs="Calibri"/>
          <w:sz w:val="24"/>
          <w:szCs w:val="24"/>
        </w:rPr>
        <w:t>Table the four Act amendments in this Parliamentary session, while the newly elected LC1 committees are freshly constituted. Secure Personal Data Protection Office sign-off on the Meta data-processing agreement before piloting.</w:t>
      </w:r>
    </w:p>
    <w:p w14:paraId="5F5C525D" w14:textId="77777777" w:rsidR="00065207" w:rsidRDefault="00000000">
      <w:pPr>
        <w:pStyle w:val="Heading2"/>
        <w:spacing w:before="240" w:after="120"/>
      </w:pPr>
      <w:r>
        <w:t>Phase 2 — Controlled Pilot (2027)</w:t>
      </w:r>
    </w:p>
    <w:p w14:paraId="73D0B005"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UBOS and NITA-U to run a six-month pilot in 15–20 villages spanning urban, peri-urban, and rural districts with confirmed backbone connectivity. The pilot must specifically test: (a) whether honoraria and connectivity financing survive a full fiscal year without lapse; (b) whether Secretary-reported figures hold up against independent verification in politically sensitive categories, using the Colombia WhatsApp study and comparable CRVS pilot evaluations as methodological reference; and (c) whether the pilot demonstrably retires or consolidates PBMIS-equivalent parallel reporting rather than adding to it.</w:t>
      </w:r>
    </w:p>
    <w:p w14:paraId="27FDA1C9" w14:textId="77777777" w:rsidR="00065207" w:rsidRDefault="00000000">
      <w:pPr>
        <w:pStyle w:val="Heading2"/>
        <w:spacing w:before="240" w:after="120"/>
      </w:pPr>
      <w:r>
        <w:t>Phase 3 — Phased National Scale (2028 onward)</w:t>
      </w:r>
    </w:p>
    <w:p w14:paraId="48345A23"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lastRenderedPageBreak/>
        <w:t>Subject to pilot results, scale first to the 53 districts with existing backbone connectivity, expanding as the National Backbone Infrastructure project extends coverage. Institutionalise the Secretary for Data role within the annual local government budgeting cycle, with a UBOS Data Quality Unit conducting ongoing statistical audit.</w:t>
      </w:r>
    </w:p>
    <w:p w14:paraId="1B72BA72" w14:textId="77777777" w:rsidR="00065207" w:rsidRDefault="00000000">
      <w:pPr>
        <w:pStyle w:val="Heading1"/>
        <w:spacing w:before="320" w:after="160"/>
      </w:pPr>
      <w:r>
        <w:t>8. Recommendation</w:t>
      </w:r>
    </w:p>
    <w:p w14:paraId="1B677711" w14:textId="77777777" w:rsidR="00065207" w:rsidRPr="00323FBB" w:rsidRDefault="00000000">
      <w:pPr>
        <w:spacing w:after="160" w:line="276" w:lineRule="auto"/>
        <w:jc w:val="both"/>
        <w:rPr>
          <w:rFonts w:ascii="Cambria" w:hAnsi="Cambria"/>
          <w:sz w:val="24"/>
          <w:szCs w:val="24"/>
        </w:rPr>
      </w:pPr>
      <w:r w:rsidRPr="00323FBB">
        <w:rPr>
          <w:rFonts w:ascii="Cambria" w:eastAsia="Calibri" w:hAnsi="Cambria" w:cs="Calibri"/>
          <w:sz w:val="24"/>
          <w:szCs w:val="24"/>
        </w:rPr>
        <w:t>Cabinet is asked to: (1) authorise the Ministry of ICT and National Guidance, the Ministry of Local Government, and UBOS to jointly draft the four amendments set out in Section 4 for tabling in this Parliamentary session; (2) direct the Personal Data Protection Office to open data-processing agreement negotiations with Meta in parallel; and (3) approve a funded, time-bound pilot as set out in Phase 2 prior to any decision on national scale-up. No commitment to national rollout or to the cost figures in Section 5 is sought at this stage; the pilot's findings on institutional sustainability and data-quality performance should determine whether Phase 3 proceeds.</w:t>
      </w:r>
    </w:p>
    <w:p w14:paraId="6B4F7DDF" w14:textId="77777777" w:rsidR="00065207" w:rsidRDefault="00000000">
      <w:pPr>
        <w:pStyle w:val="Heading1"/>
        <w:spacing w:before="320" w:after="160"/>
      </w:pPr>
      <w:r>
        <w:t>References</w:t>
      </w:r>
    </w:p>
    <w:p w14:paraId="639CC4C7" w14:textId="77777777" w:rsidR="00065207" w:rsidRDefault="00000000">
      <w:pPr>
        <w:spacing w:after="160" w:line="276" w:lineRule="auto"/>
        <w:jc w:val="both"/>
        <w:rPr>
          <w:rFonts w:ascii="Cambria" w:eastAsia="Calibri" w:hAnsi="Cambria" w:cs="Calibri"/>
          <w:sz w:val="24"/>
          <w:szCs w:val="24"/>
        </w:rPr>
      </w:pPr>
      <w:r w:rsidRPr="00323FBB">
        <w:rPr>
          <w:rFonts w:ascii="Cambria" w:eastAsia="Calibri" w:hAnsi="Cambria" w:cs="Calibri"/>
          <w:sz w:val="24"/>
          <w:szCs w:val="24"/>
        </w:rPr>
        <w:t>Office of the Auditor General, Report on the Uganda Bureau of Statistics Financial Year 2023/24 (National Census audit). Uganda Bureau of Statistics, National Population and Housing Census 2024 (preliminary and final reports). Uganda Bureau of Statistics, Vital Statistics Report 2024 (July 2025). National Identification and Registration Authority, death registration data, 2018/19. Determinants and patterns of timeliness of birth registrations in Uganda, Discover Health Systems (2025). Prevalence and determinants of death registration and certification uptake in Uganda, PLOS One (2022). Uganda Electoral Commission, LC1 and Village Women's Council Elections Roadmap, June–July 2026. State House Uganda, PDM communications, July 2025. Stanford Immigration Policy Lab / Innovations for Poverty Action, WhatsApp survey randomised evaluation, Colombia. World Bank, case studies on Singapore APEX and Estonia X-Road interoperability platforms.</w:t>
      </w:r>
    </w:p>
    <w:p w14:paraId="4C3DD537" w14:textId="7B982A7C" w:rsidR="00AB4FD6" w:rsidRDefault="00AB4FD6">
      <w:pPr>
        <w:spacing w:after="160" w:line="276" w:lineRule="auto"/>
        <w:jc w:val="both"/>
        <w:rPr>
          <w:rFonts w:ascii="Cambria" w:eastAsia="Calibri" w:hAnsi="Cambria" w:cs="Calibri"/>
          <w:sz w:val="24"/>
          <w:szCs w:val="24"/>
        </w:rPr>
      </w:pPr>
      <w:r>
        <w:rPr>
          <w:rFonts w:ascii="Cambria" w:eastAsia="Calibri" w:hAnsi="Cambria" w:cs="Calibri"/>
          <w:sz w:val="24"/>
          <w:szCs w:val="24"/>
        </w:rPr>
        <w:t xml:space="preserve">Prepared by </w:t>
      </w:r>
    </w:p>
    <w:p w14:paraId="45D10A52" w14:textId="6F654E42" w:rsidR="00FF5CC8" w:rsidRDefault="00FF5CC8">
      <w:pPr>
        <w:spacing w:after="160" w:line="276" w:lineRule="auto"/>
        <w:jc w:val="both"/>
        <w:rPr>
          <w:rFonts w:ascii="Cambria" w:eastAsia="Calibri" w:hAnsi="Cambria" w:cs="Calibri"/>
          <w:sz w:val="24"/>
          <w:szCs w:val="24"/>
        </w:rPr>
      </w:pPr>
      <w:r>
        <w:rPr>
          <w:rFonts w:ascii="Cambria" w:eastAsia="Calibri" w:hAnsi="Cambria" w:cs="Calibri"/>
          <w:sz w:val="24"/>
          <w:szCs w:val="24"/>
        </w:rPr>
        <w:t xml:space="preserve">Danson </w:t>
      </w:r>
      <w:proofErr w:type="spellStart"/>
      <w:r>
        <w:rPr>
          <w:rFonts w:ascii="Cambria" w:eastAsia="Calibri" w:hAnsi="Cambria" w:cs="Calibri"/>
          <w:sz w:val="24"/>
          <w:szCs w:val="24"/>
        </w:rPr>
        <w:t>Twesigomwe</w:t>
      </w:r>
      <w:proofErr w:type="spellEnd"/>
      <w:r>
        <w:rPr>
          <w:rFonts w:ascii="Cambria" w:eastAsia="Calibri" w:hAnsi="Cambria" w:cs="Calibri"/>
          <w:sz w:val="24"/>
          <w:szCs w:val="24"/>
        </w:rPr>
        <w:t xml:space="preserve"> LLB(Hons) MAK, Dip. LP LDC, Kampala.</w:t>
      </w:r>
    </w:p>
    <w:p w14:paraId="091240B2" w14:textId="65722FBA" w:rsidR="00FF5CC8" w:rsidRPr="00FF5CC8" w:rsidRDefault="00FF5CC8">
      <w:pPr>
        <w:spacing w:after="160" w:line="276" w:lineRule="auto"/>
        <w:jc w:val="both"/>
        <w:rPr>
          <w:rFonts w:ascii="Cambria" w:eastAsia="Calibri" w:hAnsi="Cambria" w:cs="Calibri"/>
          <w:b/>
          <w:bCs/>
          <w:i/>
          <w:iCs/>
          <w:sz w:val="24"/>
          <w:szCs w:val="24"/>
        </w:rPr>
      </w:pPr>
      <w:r w:rsidRPr="00FF5CC8">
        <w:rPr>
          <w:rFonts w:ascii="Cambria" w:eastAsia="Calibri" w:hAnsi="Cambria" w:cs="Calibri"/>
          <w:b/>
          <w:bCs/>
          <w:i/>
          <w:iCs/>
          <w:sz w:val="24"/>
          <w:szCs w:val="24"/>
        </w:rPr>
        <w:t xml:space="preserve">AI LAW &amp; DIGITAL SOVEREIGNTY RESEARCHER </w:t>
      </w:r>
    </w:p>
    <w:p w14:paraId="49B63B65" w14:textId="77777777" w:rsidR="00FF5CC8" w:rsidRPr="00323FBB" w:rsidRDefault="00FF5CC8">
      <w:pPr>
        <w:spacing w:after="160" w:line="276" w:lineRule="auto"/>
        <w:jc w:val="both"/>
        <w:rPr>
          <w:rFonts w:ascii="Cambria" w:hAnsi="Cambria"/>
          <w:sz w:val="24"/>
          <w:szCs w:val="24"/>
        </w:rPr>
      </w:pPr>
    </w:p>
    <w:sectPr w:rsidR="00FF5CC8" w:rsidRPr="00323F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E2923"/>
    <w:multiLevelType w:val="hybridMultilevel"/>
    <w:tmpl w:val="AE382ACA"/>
    <w:lvl w:ilvl="0" w:tplc="04A6D55C">
      <w:start w:val="1"/>
      <w:numFmt w:val="bullet"/>
      <w:lvlText w:val="•"/>
      <w:lvlJc w:val="left"/>
      <w:pPr>
        <w:ind w:left="720" w:hanging="360"/>
      </w:pPr>
    </w:lvl>
    <w:lvl w:ilvl="1" w:tplc="C6F6602A">
      <w:numFmt w:val="decimal"/>
      <w:lvlText w:val=""/>
      <w:lvlJc w:val="left"/>
    </w:lvl>
    <w:lvl w:ilvl="2" w:tplc="8D3A86B8">
      <w:numFmt w:val="decimal"/>
      <w:lvlText w:val=""/>
      <w:lvlJc w:val="left"/>
    </w:lvl>
    <w:lvl w:ilvl="3" w:tplc="C12640AC">
      <w:numFmt w:val="decimal"/>
      <w:lvlText w:val=""/>
      <w:lvlJc w:val="left"/>
    </w:lvl>
    <w:lvl w:ilvl="4" w:tplc="6DACC704">
      <w:numFmt w:val="decimal"/>
      <w:lvlText w:val=""/>
      <w:lvlJc w:val="left"/>
    </w:lvl>
    <w:lvl w:ilvl="5" w:tplc="9CC24602">
      <w:numFmt w:val="decimal"/>
      <w:lvlText w:val=""/>
      <w:lvlJc w:val="left"/>
    </w:lvl>
    <w:lvl w:ilvl="6" w:tplc="27EAB15A">
      <w:numFmt w:val="decimal"/>
      <w:lvlText w:val=""/>
      <w:lvlJc w:val="left"/>
    </w:lvl>
    <w:lvl w:ilvl="7" w:tplc="653AC9F4">
      <w:numFmt w:val="decimal"/>
      <w:lvlText w:val=""/>
      <w:lvlJc w:val="left"/>
    </w:lvl>
    <w:lvl w:ilvl="8" w:tplc="5396FF14">
      <w:numFmt w:val="decimal"/>
      <w:lvlText w:val=""/>
      <w:lvlJc w:val="left"/>
    </w:lvl>
  </w:abstractNum>
  <w:abstractNum w:abstractNumId="1" w15:restartNumberingAfterBreak="0">
    <w:nsid w:val="3E660C6A"/>
    <w:multiLevelType w:val="hybridMultilevel"/>
    <w:tmpl w:val="D3D2CF00"/>
    <w:lvl w:ilvl="0" w:tplc="BE4E7100">
      <w:start w:val="1"/>
      <w:numFmt w:val="bullet"/>
      <w:lvlText w:val="●"/>
      <w:lvlJc w:val="left"/>
      <w:pPr>
        <w:ind w:left="720" w:hanging="360"/>
      </w:pPr>
    </w:lvl>
    <w:lvl w:ilvl="1" w:tplc="8A206CBA">
      <w:start w:val="1"/>
      <w:numFmt w:val="bullet"/>
      <w:lvlText w:val="○"/>
      <w:lvlJc w:val="left"/>
      <w:pPr>
        <w:ind w:left="1440" w:hanging="360"/>
      </w:pPr>
    </w:lvl>
    <w:lvl w:ilvl="2" w:tplc="872892D2">
      <w:start w:val="1"/>
      <w:numFmt w:val="bullet"/>
      <w:lvlText w:val="■"/>
      <w:lvlJc w:val="left"/>
      <w:pPr>
        <w:ind w:left="2160" w:hanging="360"/>
      </w:pPr>
    </w:lvl>
    <w:lvl w:ilvl="3" w:tplc="0B0E7304">
      <w:start w:val="1"/>
      <w:numFmt w:val="bullet"/>
      <w:lvlText w:val="●"/>
      <w:lvlJc w:val="left"/>
      <w:pPr>
        <w:ind w:left="2880" w:hanging="360"/>
      </w:pPr>
    </w:lvl>
    <w:lvl w:ilvl="4" w:tplc="F89410C2">
      <w:start w:val="1"/>
      <w:numFmt w:val="bullet"/>
      <w:lvlText w:val="○"/>
      <w:lvlJc w:val="left"/>
      <w:pPr>
        <w:ind w:left="3600" w:hanging="360"/>
      </w:pPr>
    </w:lvl>
    <w:lvl w:ilvl="5" w:tplc="27F09B58">
      <w:start w:val="1"/>
      <w:numFmt w:val="bullet"/>
      <w:lvlText w:val="■"/>
      <w:lvlJc w:val="left"/>
      <w:pPr>
        <w:ind w:left="4320" w:hanging="360"/>
      </w:pPr>
    </w:lvl>
    <w:lvl w:ilvl="6" w:tplc="189EB108">
      <w:start w:val="1"/>
      <w:numFmt w:val="bullet"/>
      <w:lvlText w:val="●"/>
      <w:lvlJc w:val="left"/>
      <w:pPr>
        <w:ind w:left="5040" w:hanging="360"/>
      </w:pPr>
    </w:lvl>
    <w:lvl w:ilvl="7" w:tplc="EF3EBBBC">
      <w:start w:val="1"/>
      <w:numFmt w:val="bullet"/>
      <w:lvlText w:val="●"/>
      <w:lvlJc w:val="left"/>
      <w:pPr>
        <w:ind w:left="5760" w:hanging="360"/>
      </w:pPr>
    </w:lvl>
    <w:lvl w:ilvl="8" w:tplc="CE60AD60">
      <w:start w:val="1"/>
      <w:numFmt w:val="bullet"/>
      <w:lvlText w:val="●"/>
      <w:lvlJc w:val="left"/>
      <w:pPr>
        <w:ind w:left="6480" w:hanging="360"/>
      </w:pPr>
    </w:lvl>
  </w:abstractNum>
  <w:num w:numId="1" w16cid:durableId="886600173">
    <w:abstractNumId w:val="1"/>
    <w:lvlOverride w:ilvl="0">
      <w:startOverride w:val="1"/>
    </w:lvlOverride>
  </w:num>
  <w:num w:numId="2" w16cid:durableId="1067343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207"/>
    <w:rsid w:val="00065207"/>
    <w:rsid w:val="00323FBB"/>
    <w:rsid w:val="00873050"/>
    <w:rsid w:val="00AB4FD6"/>
    <w:rsid w:val="00EE7F61"/>
    <w:rsid w:val="00FF5CC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B2CC"/>
  <w15:docId w15:val="{FC65621E-62AE-4AE7-A942-F027F1898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2712</Words>
  <Characters>15461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Intern Strategy</cp:lastModifiedBy>
  <cp:revision>3</cp:revision>
  <dcterms:created xsi:type="dcterms:W3CDTF">2026-07-28T12:05:00Z</dcterms:created>
  <dcterms:modified xsi:type="dcterms:W3CDTF">2026-07-28T13:55:00Z</dcterms:modified>
</cp:coreProperties>
</file>