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Africa Is Repeating with AI the Mistake It Made with Blockchain</w:t>
      </w:r>
    </w:p>
    <w:p>
      <w:pPr>
        <w:spacing w:after="160"/>
      </w:pPr>
      <w:r>
        <w:rPr>
          <w:i/>
        </w:rPr>
        <w:t>Sovereignty has become the continent's robe of incompetence.</w:t>
      </w:r>
    </w:p>
    <w:p>
      <w:pPr>
        <w:spacing w:after="160"/>
      </w:pPr>
      <w:r>
        <w:rPr>
          <w:i/>
        </w:rPr>
        <w:t>Week 5 — AI History, Machine Learning Foundations &amp; Model Evaluation</w:t>
      </w:r>
    </w:p>
    <w:p>
      <w:pPr>
        <w:spacing w:after="160"/>
      </w:pPr>
      <w:r>
        <w:t>In 2022 a blockchain protocol foundation gave me a grant to build a developer community in Kampala. The receiving bank rejected the payment. Nothing was illegal — the April 2022 Bank of Uganda directive (National Payment Systems Act, 2020, ss. 13(1)(b) and (f)) bars supervised institutions from facilitating virtual-asset transactions but does not criminalise the grant. The bank decided anything smelling of cryptocurrency was a risk it would not carry. Fear did the work a court order should have done.</w:t>
      </w:r>
    </w:p>
    <w:p>
      <w:pPr>
        <w:spacing w:after="160"/>
      </w:pPr>
      <w:r>
        <w:t>The grant was settled another way, but the logic stuck: the state declined to regulate a growing market, the market declined to wait, and the institution caught in the middle chose paralysis. That is the pattern. We are about to run it again, with AI — not because the technologies are alike, but because the reflex is: write a circular where a framework belongs, stay silent where a licence belongs, quietly adopt what you fear, and call procurement strategy.</w:t>
      </w:r>
    </w:p>
    <w:p>
      <w:pPr>
        <w:pStyle w:val="Heading1"/>
      </w:pPr>
      <w:r>
        <w:t>The Triptych</w:t>
      </w:r>
    </w:p>
    <w:p>
      <w:pPr>
        <w:spacing w:after="160"/>
      </w:pPr>
      <w:r>
        <w:rPr>
          <w:b/>
        </w:rPr>
        <w:t>The state that barred its banks from touching cryptocurrency is now, quietly, a blockchain consumer.</w:t>
      </w:r>
    </w:p>
    <w:p>
      <w:pPr>
        <w:spacing w:after="160"/>
      </w:pPr>
      <w:r>
        <w:t>In July 2026 the government switched on eGP 2.0 across the first 100 procurement entities, pulling supplier verification from URA, NSSF, URSB and NIRA. A Ministry of Finance official said it "incorporates AI, blockchain technology and enhanced cybersecurity." No one has named the blockchain or who runs the validators. If public, the state routes its procurement through token economics it barred its banks from touching; if private, the validators are undisclosed. Either way the argument fails or the disclosure does.</w:t>
      </w:r>
    </w:p>
    <w:p>
      <w:pPr>
        <w:spacing w:after="160"/>
      </w:pPr>
      <w:r>
        <w:t>The objection is not that the state regulated. There is a legal difference between a wall and a framework: the 2022 directive closed a market to supervised institutions; Kenya's VASP Act and Ghana's legislation opened one with licensing and dispute routes. Uganda built the wall and called the missing framework prudence.</w:t>
      </w:r>
    </w:p>
    <w:p>
      <w:pPr>
        <w:spacing w:after="160"/>
      </w:pPr>
      <w:r>
        <w:t>Crypto taught the lesson. Uganda has no licensing regime, no consumer protection, no dispute resolution — yet the FIA counted roughly UGX 4.1 trillion (about US$1.1 billion) moving through virtual-asset platforms between July 2020 and June 2024, ranking Uganda 34th of 155 countries for adoption. The Bank of Uganda conceded that 84.5 per cent of Ugandan virtual-asset activity runs on decentralised platforms, far above the Sub-Saharan average of 63.8 per cent, and that it has no regime. Ghana legislated, Kenya licensed; Uganda chose prudence — which has the same effect as neglect, with better branding.</w:t>
      </w:r>
    </w:p>
    <w:p>
      <w:pPr>
        <w:pStyle w:val="Heading1"/>
      </w:pPr>
      <w:r>
        <w:t>The Budget Arithmetic</w:t>
      </w:r>
    </w:p>
    <w:p>
      <w:pPr>
        <w:spacing w:after="160"/>
      </w:pPr>
      <w:r>
        <w:t>Uganda has no AI Act; AI is governed by whatever horizontal statutes reach it — the DPA (Cap. 97), the Computer Misuse Act (Cap. 96), the Electronic Transactions Act (Cap. 99). The National AI Strategy has not materialised; there is a UCC taskforce on ethics, not a ministry of AI. UBOS was cut from UGX 134.3 billion to 125.4 billion, its digitisation development allocation at zero. NITA-U carries 48 billion recurrent and 297 billion development, but the third National Data Centre was removed from the World Bank's UDAP-GovNet project, and the government's own assessment concedes the national data centre runs on CPU servers with no specialised AI hardware. No dedicated AI funding line appears in any of these votes. A government can call AI a priority while the budget says otherwise. Fear does not buy GPUs.</w:t>
      </w:r>
    </w:p>
    <w:p>
      <w:pPr>
        <w:pStyle w:val="Heading1"/>
      </w:pPr>
      <w:r>
        <w:t>The Trade</w:t>
      </w:r>
    </w:p>
    <w:p>
      <w:pPr>
        <w:spacing w:after="160"/>
      </w:pPr>
      <w:r>
        <w:rPr>
          <w:b/>
        </w:rPr>
        <w:t>Within days Uganda signed away access to its health data, Kenya's courts froze the same architecture.</w:t>
      </w:r>
    </w:p>
    <w:p>
      <w:pPr>
        <w:spacing w:after="160"/>
      </w:pPr>
      <w:r>
        <w:t>On 10 December 2025 Uganda signed a health cooperation MoU with the United States — up to US$1.7 billion in US funding plus Uganda's own increase, a roughly US$2.3 billion framework. Per ProPublica, buried inside it is a commitment to give US officials real-time access to nine Ugandan health data systems for seven years and to share pathogen specimens within days of a request. Gilbert Ssettuuma, the director of Uganda's Personal Data Protection Office, called the proposal a "power grab"; Parliament ordered a review; the State Department will release the text around September 2027.</w:t>
      </w:r>
    </w:p>
    <w:p>
      <w:pPr>
        <w:spacing w:after="160"/>
      </w:pPr>
      <w:r>
        <w:t>Concede the counter-case: disease-surveillance sharing is standard global-health practice, and a country that cannot sequence its own pathogens buys that capacity by sharing specimens. The objection is not the sharing but the terms: set by one side, signed by a state that would not let its own institutions see them. Within days Kenya's High Court blocked the parallel US–Kenya framework — conservatory orders on 11 December, a fuller suspension on 19 December. Kenya's judiciary did what Uganda's parliament has not: it stopped the exchange and asked to see the terms. One country guards its data; the other treats it as a bargaining chip and calls the trade sovereignty.</w:t>
      </w:r>
    </w:p>
    <w:p>
      <w:pPr>
        <w:pStyle w:val="Heading1"/>
      </w:pPr>
      <w:r>
        <w:t>What Actually Exists</w:t>
      </w:r>
    </w:p>
    <w:p>
      <w:pPr>
        <w:spacing w:after="160"/>
      </w:pPr>
      <w:r>
        <w:t>None of this denies that African AI exists. It asks who owns the thing that exists. The most used government AI — the UGGov agent answering in 16 languages over WhatsApp — was built by Afrosoft, a private company, not the state. What the state builds for itself is an automated surveillance network of digital number plates, delivered by a Russian joint stock company called Global Security. That is procurement, not strategy.</w:t>
      </w:r>
    </w:p>
    <w:p>
      <w:pPr>
        <w:spacing w:after="160"/>
      </w:pPr>
      <w:r>
        <w:t>Sunbird AI, a Kampala non-profit, built open-weight models covering 31 Ugandan languages on rented NVIDIA H200s — the best AI work in the country, done by an organisation that owns none of its compute. At Karuma, the Aeonian AI Center is building a ten-megawatt USIO supercomputer on NVIDIA Blackwell, billed as East Africa's first sovereign AI hub: sovereign in location, licensed in architecture.</w:t>
      </w:r>
    </w:p>
    <w:p>
      <w:pPr>
        <w:spacing w:after="160"/>
      </w:pPr>
      <w:r>
        <w:t>The continental frame is identical: the AU's Continental AI Strategy (July 2024) with its "Local First" principle, AUDA-NEPAD urging open-source models, a February 2026 AU–Google partnership — while Africa holds less than one per cent of the world's data centre capacity and roughly three per cent of its AI talent.</w:t>
      </w:r>
    </w:p>
    <w:p>
      <w:pPr>
        <w:pStyle w:val="Heading1"/>
      </w:pPr>
      <w:r>
        <w:t>Sovereignty Is Not Where the Chip Sits</w:t>
      </w:r>
    </w:p>
    <w:p>
      <w:pPr>
        <w:spacing w:after="160"/>
      </w:pPr>
      <w:r>
        <w:t>A national LLM is not sovereignty. Sovereignty is not a switch, either: every state runs on foreign silicon and foreign cables; the question is never whether a country is sovereign but where its dependence sits and who set the terms. Sovereignty answers three questions: who decides what data gets collected, who owns the compute, and who sets the terms of exchange.</w:t>
      </w:r>
    </w:p>
    <w:p>
      <w:pPr>
        <w:spacing w:after="160"/>
      </w:pPr>
      <w:r>
        <w:t>Sunflower is licensed, not sovereign; Aeonian is located, not sovereign. Real-time access to nine health systems for seven years is not sovereignty; it is the sale of it, at a discount, for a headline figure the signatory did not earn.</w:t>
      </w:r>
    </w:p>
    <w:p>
      <w:pPr>
        <w:spacing w:after="160"/>
      </w:pPr>
      <w:r>
        <w:t>The fix is not to build everything from scratch — modify what exists, license what cannot be built, and, the part no strategy document has admitted, collect the data. All of it, continuously, in Uganda. This is not a surveillance-state argument: the DPA already obliges data controllers to hold and secure personal data. A country that does not collect its own data does not own it; one that does not own its data has a consumption policy, not an AI policy.</w:t>
      </w:r>
    </w:p>
    <w:p>
      <w:pPr>
        <w:spacing w:after="160"/>
      </w:pPr>
      <w:r>
        <w:t>The 2022 bank did not act because the law demanded it. The law was silent. The institution was afraid. Now the state is afraid of AI the same way — regulating the feared outputs, adopting the quiet inputs, claiming sovereignty over both, and owning neither.</w:t>
      </w:r>
    </w:p>
    <w:p>
      <w:pPr>
        <w:spacing w:after="160"/>
      </w:pPr>
      <w:r>
        <w:t>Sovereignty has become the continent's robe of incompetence. It keeps you warm while the real decisions are made elsewhere.</w:t>
      </w:r>
    </w:p>
    <w:p>
      <w:pPr>
        <w:spacing w:after="160"/>
      </w:pPr>
      <w:r>
        <w:t>The prediction, a forecast from the record not prophecy: within three years, some African government will ban a foreign AI tool with the same panic it once aimed at crypto — a model that answers in the wrong way in the wrong language. The replacement will be a national model, unveiled with a ceremony, running on foreign chips in a foreign data centre, trained on data collected locally and given away. The announcement will use the word "sovereign." It will not be.</w:t>
      </w:r>
    </w:p>
    <w:p>
      <w:pPr>
        <w:spacing w:after="160"/>
      </w:pPr>
      <w:r>
        <w:t>The transfer has already been initiated. As with the eGP validators and the MoU's unread text, no one has fully said who is on the other end.</w:t>
      </w:r>
    </w:p>
    <w:p>
      <w:pPr>
        <w:spacing w:after="160"/>
      </w:pPr>
      <w:r>
        <w:rPr>
          <w:i/>
        </w:rPr>
        <w:t>This article is part of the Week 5 curriculum on AI History, Machine Learning Foundations &amp; Model Evaluation. The state of the law is as of August 2026.</w:t>
      </w:r>
    </w:p>
    <w:p>
      <w:r>
        <w:rPr>
          <w:b/>
          <w:sz w:val="24"/>
        </w:rPr>
        <w:t>Sources</w:t>
      </w:r>
    </w:p>
    <w:p>
      <w:pPr>
        <w:pStyle w:val="ListBullet"/>
      </w:pPr>
      <w:r>
        <w:t>Bank of Uganda circular on virtual assets, 29 April 2022 (National Payment Systems Act, 2020, ss. 13(1)(b) and (f))</w:t>
      </w:r>
    </w:p>
    <w:p>
      <w:pPr>
        <w:pStyle w:val="ListBullet"/>
      </w:pPr>
      <w:r>
        <w:t xml:space="preserve">Financial Intelligence Authority, </w:t>
      </w:r>
      <w:r>
        <w:rPr>
          <w:i/>
        </w:rPr>
        <w:t>National Risk Assessment on Virtual Assets and Virtual Asset Service Providers</w:t>
      </w:r>
      <w:r>
        <w:t xml:space="preserve"> (September 2025)</w:t>
      </w:r>
    </w:p>
    <w:p>
      <w:pPr>
        <w:pStyle w:val="ListBullet"/>
      </w:pPr>
      <w:r>
        <w:t>Bank of Uganda, "Prudence, Not Hesitation" — Keynote, Kampala Blockchain Summit, 25 November 2025 (BIS review r260210a)</w:t>
      </w:r>
    </w:p>
    <w:p>
      <w:pPr>
        <w:pStyle w:val="ListBullet"/>
      </w:pPr>
      <w:r>
        <w:t>Highflyer Report / ChimpReports, eGP 2.0 launch, 20 July 2026</w:t>
      </w:r>
    </w:p>
    <w:p>
      <w:pPr>
        <w:pStyle w:val="ListBullet"/>
      </w:pPr>
      <w:r>
        <w:t>UBOS, Vote 143 Budget Estimates, FY2025/26 and FY2026/27 (budget.finance.go.ug)</w:t>
      </w:r>
    </w:p>
    <w:p>
      <w:pPr>
        <w:pStyle w:val="ListBullet"/>
      </w:pPr>
      <w:r>
        <w:t>Ministry of ICT and National Guidance, Vote 020 Budget Estimates, FY2025/26</w:t>
      </w:r>
    </w:p>
    <w:p>
      <w:pPr>
        <w:pStyle w:val="ListBullet"/>
      </w:pPr>
      <w:r>
        <w:t>NITA-U, Vote 126 Budget Estimates, FY2026/27</w:t>
      </w:r>
    </w:p>
    <w:p>
      <w:pPr>
        <w:pStyle w:val="ListBullet"/>
      </w:pPr>
      <w:r>
        <w:t>World Bank, UDAP-GovNet Project Document (June 2025)</w:t>
      </w:r>
    </w:p>
    <w:p>
      <w:pPr>
        <w:pStyle w:val="ListBullet"/>
      </w:pPr>
      <w:r>
        <w:t xml:space="preserve">Ministry of ICT and National Guidance, </w:t>
      </w:r>
      <w:r>
        <w:rPr>
          <w:i/>
        </w:rPr>
        <w:t>National AI Landscape Assessment</w:t>
      </w:r>
      <w:r>
        <w:t xml:space="preserve"> (2025)</w:t>
      </w:r>
    </w:p>
    <w:p>
      <w:pPr>
        <w:pStyle w:val="ListBullet"/>
      </w:pPr>
      <w:r>
        <w:t>ProPublica, reporting on the US–Uganda health MoU, 17 June 2026</w:t>
      </w:r>
    </w:p>
    <w:p>
      <w:pPr>
        <w:pStyle w:val="ListBullet"/>
      </w:pPr>
      <w:r>
        <w:t>Daily Monitor, "US–Uganda Health MoU," 11 December 2025 (incl. Gilbert Ssettuuma, "power grab")</w:t>
      </w:r>
    </w:p>
    <w:p>
      <w:pPr>
        <w:pStyle w:val="ListBullet"/>
      </w:pPr>
      <w:r>
        <w:t>The Observer, Parliament review (Thomas Tayebwa), 17 December 2025</w:t>
      </w:r>
    </w:p>
    <w:p>
      <w:pPr>
        <w:pStyle w:val="ListBullet"/>
      </w:pPr>
      <w:r>
        <w:t>The Star / Kenya Law, High Court conservatory orders (COFEK, 11 December 2025; Okiya Omtatah, 19 December 2025)</w:t>
      </w:r>
    </w:p>
    <w:p>
      <w:pPr>
        <w:pStyle w:val="ListBullet"/>
      </w:pPr>
      <w:r>
        <w:t>Techjaja, UGGov Agent, 10 June 2026</w:t>
      </w:r>
    </w:p>
    <w:p>
      <w:pPr>
        <w:pStyle w:val="ListBullet"/>
      </w:pPr>
      <w:r>
        <w:t>CIPESA, ITMS vendor and privacy reporting, 12 August 2024</w:t>
      </w:r>
    </w:p>
    <w:p>
      <w:pPr>
        <w:pStyle w:val="ListBullet"/>
      </w:pPr>
      <w:r>
        <w:t xml:space="preserve">Sunbird AI, </w:t>
      </w:r>
      <w:r>
        <w:rPr>
          <w:i/>
        </w:rPr>
        <w:t>Sunflower</w:t>
      </w:r>
      <w:r>
        <w:t xml:space="preserve"> technical report, arXiv 2510.07203</w:t>
      </w:r>
    </w:p>
    <w:p>
      <w:pPr>
        <w:pStyle w:val="ListBullet"/>
      </w:pPr>
      <w:r>
        <w:t>ChimpReports / USIO, Aeonian AI Center, 17 September 2025 (usio.synectics-tech.com)</w:t>
      </w:r>
    </w:p>
    <w:p>
      <w:pPr>
        <w:pStyle w:val="ListBullet"/>
      </w:pPr>
      <w:r>
        <w:t xml:space="preserve">African Union, </w:t>
      </w:r>
      <w:r>
        <w:rPr>
          <w:i/>
        </w:rPr>
        <w:t>Continental AI Strategy</w:t>
      </w:r>
      <w:r>
        <w:t xml:space="preserve"> (adopted July 2024); AUDA-NEPAD </w:t>
      </w:r>
      <w:r>
        <w:rPr>
          <w:i/>
        </w:rPr>
        <w:t>AI Roadmap 2025–2030</w:t>
      </w:r>
      <w:r>
        <w:t>; AU–Google MoU, 17 February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