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5A87C" w14:textId="4589A93D" w:rsidR="00E70FF5" w:rsidRPr="00E70FF5" w:rsidRDefault="00E70FF5" w:rsidP="00E70FF5">
      <w:pPr>
        <w:pStyle w:val="IntenseQuote"/>
        <w:rPr>
          <w:rStyle w:val="IntenseReference"/>
          <w:rFonts w:ascii="Cambria" w:hAnsi="Cambria"/>
          <w:sz w:val="28"/>
          <w:szCs w:val="28"/>
        </w:rPr>
      </w:pPr>
      <w:r w:rsidRPr="00E70FF5">
        <w:rPr>
          <w:rStyle w:val="IntenseReference"/>
          <w:rFonts w:ascii="Cambria" w:hAnsi="Cambria"/>
          <w:sz w:val="28"/>
          <w:szCs w:val="28"/>
        </w:rPr>
        <w:t>We Are About to Do to AI What We Did to Blockchain: Why Digital Sovereignty Begins with Data, Not Regulation</w:t>
      </w:r>
    </w:p>
    <w:p w14:paraId="16CCFC25"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In 2022, my payment for a blockchain developer community growth grant was rejected by a Ugandan bank.</w:t>
      </w:r>
    </w:p>
    <w:p w14:paraId="50F1E30B"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Nothing about the transaction was illegal. The Bank of Uganda had directed supervised financial institutions not to facilitate transactions involving virtual assets. It had not criminalized blockchain technology or prohibited Ugandans from owning digital assets. Yet the distinction made little difference in practice. The bank refused to process the payment because compliance departments are paid to avoid uncertainty, not to interpret policy gaps. Anything that appeared even remotely connected to cryptocurrency became too risky to touch.</w:t>
      </w:r>
    </w:p>
    <w:p w14:paraId="6AA00166"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The transaction failed not because the law demanded it, but because regulatory silence made refusal the safest option.</w:t>
      </w:r>
    </w:p>
    <w:p w14:paraId="17628F2F"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That experience has stayed with me because I believe Uganda is about to repeat the same mistake with Artificial Intelligence.</w:t>
      </w:r>
    </w:p>
    <w:p w14:paraId="3B1BAB7B"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Not because Artificial Intelligence and blockchain are similar technologies. They are fundamentally different. One is more of a financial innovation, while the other is a general-purpose technology with applications across virtually every sector of the economy. The similarity lies elsewhere. It lies in the way we regulate emerging technologies: we respond after adoption, issue circulars where legislation is needed, create uncertainty where markets require predictability, and celebrate innovation only after the private sector has carried the risk.</w:t>
      </w:r>
    </w:p>
    <w:p w14:paraId="2F8E6A5F"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Artificial Intelligence deserves a different approach.</w:t>
      </w:r>
    </w:p>
    <w:p w14:paraId="05938C71"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The question is no longer whether Uganda will use Artificial Intelligence. That question has already been answered. Government ministries, financial institutions, hospitals, universities, and private businesses are already integrating AI into their operations. The real question is whether Uganda intends to become a producer of capability or merely a consumer of products developed elsewhere.</w:t>
      </w:r>
    </w:p>
    <w:p w14:paraId="087F7AEF"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That distinction is what digital sovereignty is really about.</w:t>
      </w:r>
    </w:p>
    <w:p w14:paraId="1D9BD8ED" w14:textId="77777777" w:rsidR="00E70FF5" w:rsidRPr="00E70FF5" w:rsidRDefault="00E70FF5" w:rsidP="00E70FF5">
      <w:pPr>
        <w:pStyle w:val="Heading3"/>
      </w:pPr>
      <w:r w:rsidRPr="00E70FF5">
        <w:t>The Crypto Lesson We Never Learned</w:t>
      </w:r>
    </w:p>
    <w:p w14:paraId="7EDDB51D"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The history of cryptocurrency regulation in Uganda illustrates a broader institutional habit.</w:t>
      </w:r>
    </w:p>
    <w:p w14:paraId="1A7A2282"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 xml:space="preserve">Rather than establishing a licensing regime for virtual asset service providers, Uganda effectively discouraged participation by regulated financial institutions while leaving the wider market largely unregulated. The consequence was predictable. Innovation did not </w:t>
      </w:r>
      <w:r w:rsidRPr="00E70FF5">
        <w:rPr>
          <w:rFonts w:ascii="Cambria" w:hAnsi="Cambria"/>
          <w:sz w:val="24"/>
          <w:szCs w:val="24"/>
          <w:lang w:val="en-UG"/>
        </w:rPr>
        <w:lastRenderedPageBreak/>
        <w:t>stop. It simply moved beyond the visibility of the institutions that government could supervise most effectively.</w:t>
      </w:r>
    </w:p>
    <w:p w14:paraId="5A8A8A33"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 xml:space="preserve">Meanwhile, </w:t>
      </w:r>
      <w:proofErr w:type="spellStart"/>
      <w:r w:rsidRPr="00E70FF5">
        <w:rPr>
          <w:rFonts w:ascii="Cambria" w:hAnsi="Cambria"/>
          <w:sz w:val="24"/>
          <w:szCs w:val="24"/>
          <w:lang w:val="en-UG"/>
        </w:rPr>
        <w:t>neighboring</w:t>
      </w:r>
      <w:proofErr w:type="spellEnd"/>
      <w:r w:rsidRPr="00E70FF5">
        <w:rPr>
          <w:rFonts w:ascii="Cambria" w:hAnsi="Cambria"/>
          <w:sz w:val="24"/>
          <w:szCs w:val="24"/>
          <w:lang w:val="en-UG"/>
        </w:rPr>
        <w:t xml:space="preserve"> jurisdictions began taking different paths. Kenya and Ghana moved towards regulatory frameworks that recognized virtual assets as an emerging market requiring oversight rather than exclusion. Their objective was not to eliminate risk but to manage it through licensing, supervision, and consumer protection.</w:t>
      </w:r>
    </w:p>
    <w:p w14:paraId="0FE4B07B"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Uganda chose caution without a corresponding governance framework.</w:t>
      </w:r>
    </w:p>
    <w:p w14:paraId="53530C04"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Markets rarely wait for governments to become comfortable. They adapt. Capital flows elsewhere. Entrepreneurs relocate. Consumers continue using new technologies without the legal certainty that benefits both innovation and public protection.</w:t>
      </w:r>
    </w:p>
    <w:p w14:paraId="3400CB2C"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Artificial Intelligence presents precisely the same dilemma.</w:t>
      </w:r>
    </w:p>
    <w:p w14:paraId="1D7F2909"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Attempting to regulate outputs while neglecting the institutions, infrastructure, and investment necessary to develop domestic capability risks creating another environment where technology is widely used but poorly governed.</w:t>
      </w:r>
    </w:p>
    <w:p w14:paraId="3255EDC6"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The result is not sovereignty. It is dependence.</w:t>
      </w:r>
    </w:p>
    <w:p w14:paraId="258FA4EA" w14:textId="77777777" w:rsidR="00E70FF5" w:rsidRPr="00E70FF5" w:rsidRDefault="00E70FF5" w:rsidP="00E70FF5">
      <w:pPr>
        <w:pStyle w:val="Heading3"/>
        <w:rPr>
          <w:lang w:val="en-UG"/>
        </w:rPr>
      </w:pPr>
      <w:r w:rsidRPr="00E70FF5">
        <w:rPr>
          <w:lang w:val="en-UG"/>
        </w:rPr>
        <w:t>Regulation Without Capacity Is Not Strategy</w:t>
      </w:r>
    </w:p>
    <w:p w14:paraId="12B672A3"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Uganda currently has no dedicated Artificial Intelligence legislation.</w:t>
      </w:r>
    </w:p>
    <w:p w14:paraId="7C589195"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Instead, Artificial Intelligence is expected to fit within legal frameworks designed for entirely different technological realities. The Data Protection and Privacy Act, the Electronic Transactions Act, and the Computer Misuse Act continue to perform important functions, but none were enacted with generative AI, foundation models, or autonomous systems in mind.</w:t>
      </w:r>
    </w:p>
    <w:p w14:paraId="6CD5EE12"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Legal adaptation is possible, but legislation alone cannot create an AI ecosystem.</w:t>
      </w:r>
    </w:p>
    <w:p w14:paraId="661B2CEF"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The more fundamental challenge is institutional capacity.</w:t>
      </w:r>
    </w:p>
    <w:p w14:paraId="3B97CB87"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Artificial Intelligence depends on reliable electricity, affordable high-speed internet, high-performance computing, secure data infrastructure, specialized talent, and sustained investment. None of these can be legislated into existence.</w:t>
      </w:r>
    </w:p>
    <w:p w14:paraId="4967D9CD"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A government may describe AI as a national priority in policy speeches. The national budget provides a more reliable indication of actual priorities.</w:t>
      </w:r>
    </w:p>
    <w:p w14:paraId="301B6C8F"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If investment in data infrastructure remains limited, if computing capacity continues to depend almost entirely on foreign providers and if public institutions lack the technical resources required to implement sophisticated AI systems responsibly, then regulation becomes largely symbolic.</w:t>
      </w:r>
    </w:p>
    <w:p w14:paraId="272070AF"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One cannot regulate an ecosystem that has not yet been built.</w:t>
      </w:r>
    </w:p>
    <w:p w14:paraId="228FAF09"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This distinction matters because regulation and development are not substitutes for one another. They are complementary. Strong governance requires strong institutions, and strong institutions require investment.</w:t>
      </w:r>
    </w:p>
    <w:p w14:paraId="7D3AAE5A" w14:textId="77777777" w:rsidR="00E70FF5" w:rsidRPr="00E70FF5" w:rsidRDefault="00E70FF5" w:rsidP="00E70FF5">
      <w:pPr>
        <w:pStyle w:val="Heading3"/>
        <w:rPr>
          <w:lang w:val="en-UG"/>
        </w:rPr>
      </w:pPr>
      <w:r w:rsidRPr="00E70FF5">
        <w:rPr>
          <w:lang w:val="en-UG"/>
        </w:rPr>
        <w:lastRenderedPageBreak/>
        <w:t>Digital Sovereignty Is Not Where the Server Sits</w:t>
      </w:r>
    </w:p>
    <w:p w14:paraId="4F3FBAD7"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Few concepts in technology policy are used more frequently, or understood less clearly, than digital sovereignty.</w:t>
      </w:r>
    </w:p>
    <w:p w14:paraId="5AEFA597"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 xml:space="preserve">The term often evokes images of domestic data </w:t>
      </w:r>
      <w:proofErr w:type="spellStart"/>
      <w:r w:rsidRPr="00E70FF5">
        <w:rPr>
          <w:rFonts w:ascii="Cambria" w:hAnsi="Cambria"/>
          <w:sz w:val="24"/>
          <w:szCs w:val="24"/>
          <w:lang w:val="en-UG"/>
        </w:rPr>
        <w:t>centers</w:t>
      </w:r>
      <w:proofErr w:type="spellEnd"/>
      <w:r w:rsidRPr="00E70FF5">
        <w:rPr>
          <w:rFonts w:ascii="Cambria" w:hAnsi="Cambria"/>
          <w:sz w:val="24"/>
          <w:szCs w:val="24"/>
          <w:lang w:val="en-UG"/>
        </w:rPr>
        <w:t>, national cloud platforms, or locally developed language models. These initiatives are valuable, but none of them is sufficient on its own.</w:t>
      </w:r>
    </w:p>
    <w:p w14:paraId="36B089BE"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No modern state is completely technologically independent.</w:t>
      </w:r>
    </w:p>
    <w:p w14:paraId="2DA1097A"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Every country relies, to some extent, on foreign semiconductor manufacturing, international cloud infrastructure, submarine communication cables, and global software ecosystems. Absolute technological independence is neither realistic nor economically desirable.</w:t>
      </w:r>
    </w:p>
    <w:p w14:paraId="15F563CA"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The more useful question is different: Who determines the terms of that dependence</w:t>
      </w:r>
    </w:p>
    <w:p w14:paraId="02020764"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For me, digital sovereignty can be reduced to three practical questions.</w:t>
      </w:r>
    </w:p>
    <w:p w14:paraId="22E233FD" w14:textId="77777777" w:rsidR="00E70FF5" w:rsidRPr="00E70FF5" w:rsidRDefault="00E70FF5" w:rsidP="00E70FF5">
      <w:pPr>
        <w:jc w:val="both"/>
        <w:rPr>
          <w:rFonts w:ascii="Cambria" w:hAnsi="Cambria"/>
          <w:sz w:val="24"/>
          <w:szCs w:val="24"/>
          <w:lang w:val="en-UG"/>
        </w:rPr>
      </w:pPr>
      <w:r w:rsidRPr="00E70FF5">
        <w:rPr>
          <w:rFonts w:ascii="Cambria" w:hAnsi="Cambria"/>
          <w:b/>
          <w:bCs/>
          <w:sz w:val="24"/>
          <w:szCs w:val="24"/>
          <w:lang w:val="en-UG"/>
        </w:rPr>
        <w:t>Who collects the data?</w:t>
      </w:r>
    </w:p>
    <w:p w14:paraId="5AF12E47" w14:textId="77777777" w:rsidR="00E70FF5" w:rsidRPr="00E70FF5" w:rsidRDefault="00E70FF5" w:rsidP="00E70FF5">
      <w:pPr>
        <w:jc w:val="both"/>
        <w:rPr>
          <w:rFonts w:ascii="Cambria" w:hAnsi="Cambria"/>
          <w:sz w:val="24"/>
          <w:szCs w:val="24"/>
          <w:lang w:val="en-UG"/>
        </w:rPr>
      </w:pPr>
      <w:r w:rsidRPr="00E70FF5">
        <w:rPr>
          <w:rFonts w:ascii="Cambria" w:hAnsi="Cambria"/>
          <w:b/>
          <w:bCs/>
          <w:sz w:val="24"/>
          <w:szCs w:val="24"/>
          <w:lang w:val="en-UG"/>
        </w:rPr>
        <w:t>Who controls the computing infrastructure?</w:t>
      </w:r>
    </w:p>
    <w:p w14:paraId="71894191" w14:textId="77777777" w:rsidR="00E70FF5" w:rsidRPr="00E70FF5" w:rsidRDefault="00E70FF5" w:rsidP="00E70FF5">
      <w:pPr>
        <w:jc w:val="both"/>
        <w:rPr>
          <w:rFonts w:ascii="Cambria" w:hAnsi="Cambria"/>
          <w:sz w:val="24"/>
          <w:szCs w:val="24"/>
          <w:lang w:val="en-UG"/>
        </w:rPr>
      </w:pPr>
      <w:r w:rsidRPr="00E70FF5">
        <w:rPr>
          <w:rFonts w:ascii="Cambria" w:hAnsi="Cambria"/>
          <w:b/>
          <w:bCs/>
          <w:sz w:val="24"/>
          <w:szCs w:val="24"/>
          <w:lang w:val="en-UG"/>
        </w:rPr>
        <w:t>Who determines the conditions under which technology is deployed?</w:t>
      </w:r>
    </w:p>
    <w:p w14:paraId="39A54778"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Those questions are more revealing than the location of a server or the nationality of a software developer.</w:t>
      </w:r>
    </w:p>
    <w:p w14:paraId="14B3A0BC" w14:textId="0F5FF399"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 xml:space="preserve">A country may host world-class data </w:t>
      </w:r>
      <w:r w:rsidRPr="00E70FF5">
        <w:rPr>
          <w:rFonts w:ascii="Cambria" w:hAnsi="Cambria"/>
          <w:sz w:val="24"/>
          <w:szCs w:val="24"/>
          <w:lang w:val="en-UG"/>
        </w:rPr>
        <w:t>centres</w:t>
      </w:r>
      <w:r w:rsidRPr="00E70FF5">
        <w:rPr>
          <w:rFonts w:ascii="Cambria" w:hAnsi="Cambria"/>
          <w:sz w:val="24"/>
          <w:szCs w:val="24"/>
          <w:lang w:val="en-UG"/>
        </w:rPr>
        <w:t xml:space="preserve"> while relying entirely on foreign-owned computing infrastructure, foreign licensing arrangements, and externally controlled datasets. Equally, a country may develop sophisticated local applications while surrendering strategic control over the information that makes those systems valuable.</w:t>
      </w:r>
    </w:p>
    <w:p w14:paraId="4A2A137A"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Digital sovereignty is therefore less about ownership in the traditional sense than about negotiating power.</w:t>
      </w:r>
    </w:p>
    <w:p w14:paraId="4B3A1E97"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Countries that possess trusted data, skilled people, resilient infrastructure, and credible institutions negotiate from a point of strength.</w:t>
      </w:r>
    </w:p>
    <w:p w14:paraId="0FB45695"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Countries that possess none of these negotiate from necessity.</w:t>
      </w:r>
    </w:p>
    <w:p w14:paraId="146A4FCC" w14:textId="77777777" w:rsidR="00E70FF5" w:rsidRPr="00E70FF5" w:rsidRDefault="00E70FF5" w:rsidP="00E70FF5">
      <w:pPr>
        <w:pStyle w:val="Heading3"/>
        <w:rPr>
          <w:lang w:val="en-UG"/>
        </w:rPr>
      </w:pPr>
      <w:r w:rsidRPr="00E70FF5">
        <w:rPr>
          <w:lang w:val="en-UG"/>
        </w:rPr>
        <w:t>The Infrastructure Behind Artificial Intelligence</w:t>
      </w:r>
    </w:p>
    <w:p w14:paraId="4D840B64"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Artificial Intelligence does not begin with algorithms.</w:t>
      </w:r>
    </w:p>
    <w:p w14:paraId="5DB5E3B4"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It begins with electricity.</w:t>
      </w:r>
    </w:p>
    <w:p w14:paraId="25ED4B35"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 xml:space="preserve">Without reliable power, high-performance computing cannot operate. Without affordable broadband, AI systems cannot be deployed at scale. Without data </w:t>
      </w:r>
      <w:proofErr w:type="spellStart"/>
      <w:r w:rsidRPr="00E70FF5">
        <w:rPr>
          <w:rFonts w:ascii="Cambria" w:hAnsi="Cambria"/>
          <w:sz w:val="24"/>
          <w:szCs w:val="24"/>
          <w:lang w:val="en-UG"/>
        </w:rPr>
        <w:t>centers</w:t>
      </w:r>
      <w:proofErr w:type="spellEnd"/>
      <w:r w:rsidRPr="00E70FF5">
        <w:rPr>
          <w:rFonts w:ascii="Cambria" w:hAnsi="Cambria"/>
          <w:sz w:val="24"/>
          <w:szCs w:val="24"/>
          <w:lang w:val="en-UG"/>
        </w:rPr>
        <w:t>, there is nowhere to train or host advanced models. Without skilled engineers, lawyers, researchers, and policymakers, infrastructure remains underutilized.</w:t>
      </w:r>
    </w:p>
    <w:p w14:paraId="1B6AE96D"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Infrastructure is therefore not a supporting issue. It is the foundation.</w:t>
      </w:r>
    </w:p>
    <w:p w14:paraId="6F89C4C6"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lastRenderedPageBreak/>
        <w:t>Uganda’s AI conversation often begins with regulation because legislation is visible. Infrastructure receives less attention because it is expensive, technically complex, and politically less attractive.</w:t>
      </w:r>
    </w:p>
    <w:p w14:paraId="134ED964"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Yet infrastructure determines whether countries become creators or consumers.</w:t>
      </w:r>
    </w:p>
    <w:p w14:paraId="52F695BD"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The same principle applies to data.</w:t>
      </w:r>
    </w:p>
    <w:p w14:paraId="58DB4747"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Artificial Intelligence learns from information generated by people, businesses, and public institutions. Countries that continuously produce trusted, well-governed datasets create the conditions for domestic innovation. Countries that fail to do so inevitably rely upon datasets collected, processed, and controlled elsewhere.</w:t>
      </w:r>
    </w:p>
    <w:p w14:paraId="6F4A63E7"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Data has become a strategic national asset.</w:t>
      </w:r>
    </w:p>
    <w:p w14:paraId="13E79174"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Treating it merely as an administrative by-product is increasingly unsustainable.</w:t>
      </w:r>
    </w:p>
    <w:p w14:paraId="35C3BE6C" w14:textId="77777777" w:rsidR="00E70FF5" w:rsidRPr="00E70FF5" w:rsidRDefault="00E70FF5" w:rsidP="00E70FF5">
      <w:pPr>
        <w:pStyle w:val="Heading3"/>
        <w:rPr>
          <w:lang w:val="en-UG"/>
        </w:rPr>
      </w:pPr>
      <w:r w:rsidRPr="00E70FF5">
        <w:rPr>
          <w:lang w:val="en-UG"/>
        </w:rPr>
        <w:t>Building Capability Before Regulation</w:t>
      </w:r>
    </w:p>
    <w:p w14:paraId="316D0050"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The debate should therefore move beyond whether Uganda needs an Artificial Intelligence Act, policy, AI commissioner, or a statutory AI body.</w:t>
      </w:r>
    </w:p>
    <w:p w14:paraId="3DB1D70D"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It almost certainly will.</w:t>
      </w:r>
    </w:p>
    <w:p w14:paraId="6A93ED54"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The more urgent question is whether Uganda is building the capabilities that such legislation would govern.</w:t>
      </w:r>
    </w:p>
    <w:p w14:paraId="4804A707"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That begins with investment.</w:t>
      </w:r>
    </w:p>
    <w:p w14:paraId="75888684"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Artificial Intelligence should become a national development priority supported through coordinated mobilization of domestic capital, development finance, pension funds, private investors, and the Ugandan diaspora. Public expenditure alone will not finance the infrastructure required for a competitive AI ecosystem.</w:t>
      </w:r>
    </w:p>
    <w:p w14:paraId="119D6107" w14:textId="77777777" w:rsidR="00E70FF5" w:rsidRPr="00E70FF5" w:rsidRDefault="00E70FF5" w:rsidP="00E70FF5">
      <w:pPr>
        <w:jc w:val="both"/>
        <w:rPr>
          <w:rFonts w:ascii="Cambria" w:hAnsi="Cambria"/>
          <w:sz w:val="24"/>
          <w:szCs w:val="24"/>
          <w:lang w:val="en-UG"/>
        </w:rPr>
      </w:pPr>
      <w:r w:rsidRPr="00E70FF5">
        <w:rPr>
          <w:rFonts w:ascii="Cambria" w:hAnsi="Cambria"/>
          <w:b/>
          <w:bCs/>
          <w:sz w:val="24"/>
          <w:szCs w:val="24"/>
          <w:lang w:val="en-UG"/>
        </w:rPr>
        <w:t>Public-private partnerships</w:t>
      </w:r>
      <w:r w:rsidRPr="00E70FF5">
        <w:rPr>
          <w:rFonts w:ascii="Cambria" w:hAnsi="Cambria"/>
          <w:sz w:val="24"/>
          <w:szCs w:val="24"/>
          <w:lang w:val="en-UG"/>
        </w:rPr>
        <w:t xml:space="preserve"> should become the principal mechanism for deploying AI across sectors such as healthcare, agriculture, education, justice, and public administration. Government possesses regulatory authority, public datasets, and service-delivery responsibilities. The private sector contributes innovation, technical expertise, and investment. Neither can succeed independently.</w:t>
      </w:r>
    </w:p>
    <w:p w14:paraId="5DA012BF" w14:textId="77777777" w:rsidR="00E70FF5" w:rsidRPr="00E70FF5" w:rsidRDefault="00E70FF5" w:rsidP="00E70FF5">
      <w:pPr>
        <w:jc w:val="both"/>
        <w:rPr>
          <w:rFonts w:ascii="Cambria" w:hAnsi="Cambria"/>
          <w:sz w:val="24"/>
          <w:szCs w:val="24"/>
          <w:lang w:val="en-UG"/>
        </w:rPr>
      </w:pPr>
      <w:r w:rsidRPr="00E70FF5">
        <w:rPr>
          <w:rFonts w:ascii="Cambria" w:hAnsi="Cambria"/>
          <w:b/>
          <w:bCs/>
          <w:sz w:val="24"/>
          <w:szCs w:val="24"/>
          <w:lang w:val="en-UG"/>
        </w:rPr>
        <w:t>Regional cooperation</w:t>
      </w:r>
      <w:r w:rsidRPr="00E70FF5">
        <w:rPr>
          <w:rFonts w:ascii="Cambria" w:hAnsi="Cambria"/>
          <w:sz w:val="24"/>
          <w:szCs w:val="24"/>
          <w:lang w:val="en-UG"/>
        </w:rPr>
        <w:t xml:space="preserve"> must also become central to Uganda’s strategy.</w:t>
      </w:r>
    </w:p>
    <w:p w14:paraId="60FC14FB"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Artificial Intelligence is too resource-intensive for many African economies to develop in isolation. Through the East African Community, Partner States could jointly invest in high-performance computing infrastructure, harmonize regulatory standards, support collaborative research, and establish interoperable digital governance frameworks. Regional coordination creates economies of scale that individual states cannot easily achieve.</w:t>
      </w:r>
    </w:p>
    <w:p w14:paraId="41BDDB18"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Equally important is</w:t>
      </w:r>
      <w:r w:rsidRPr="00E70FF5">
        <w:rPr>
          <w:rFonts w:ascii="Cambria" w:hAnsi="Cambria"/>
          <w:b/>
          <w:bCs/>
          <w:sz w:val="24"/>
          <w:szCs w:val="24"/>
          <w:lang w:val="en-UG"/>
        </w:rPr>
        <w:t xml:space="preserve"> investment in foundational infrastructure.</w:t>
      </w:r>
    </w:p>
    <w:p w14:paraId="2B8AEF80"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 xml:space="preserve">Reliable electricity, affordable broadband, secure cloud services, resilient data </w:t>
      </w:r>
      <w:proofErr w:type="spellStart"/>
      <w:r w:rsidRPr="00E70FF5">
        <w:rPr>
          <w:rFonts w:ascii="Cambria" w:hAnsi="Cambria"/>
          <w:sz w:val="24"/>
          <w:szCs w:val="24"/>
          <w:lang w:val="en-UG"/>
        </w:rPr>
        <w:t>centers</w:t>
      </w:r>
      <w:proofErr w:type="spellEnd"/>
      <w:r w:rsidRPr="00E70FF5">
        <w:rPr>
          <w:rFonts w:ascii="Cambria" w:hAnsi="Cambria"/>
          <w:sz w:val="24"/>
          <w:szCs w:val="24"/>
          <w:lang w:val="en-UG"/>
        </w:rPr>
        <w:t xml:space="preserve">, and expanded internet connectivity remain prerequisites for any meaningful AI strategy. </w:t>
      </w:r>
      <w:r w:rsidRPr="00E70FF5">
        <w:rPr>
          <w:rFonts w:ascii="Cambria" w:hAnsi="Cambria"/>
          <w:sz w:val="24"/>
          <w:szCs w:val="24"/>
          <w:lang w:val="en-UG"/>
        </w:rPr>
        <w:lastRenderedPageBreak/>
        <w:t>Artificial Intelligence cannot flourish where the infrastructure that sustains it remains inadequate.</w:t>
      </w:r>
    </w:p>
    <w:p w14:paraId="0C12DBCB" w14:textId="77777777" w:rsidR="00E70FF5" w:rsidRPr="00E70FF5" w:rsidRDefault="00E70FF5" w:rsidP="00E70FF5">
      <w:pPr>
        <w:jc w:val="both"/>
        <w:rPr>
          <w:rFonts w:ascii="Cambria" w:hAnsi="Cambria"/>
          <w:sz w:val="24"/>
          <w:szCs w:val="24"/>
          <w:lang w:val="en-UG"/>
        </w:rPr>
      </w:pPr>
      <w:r w:rsidRPr="00E70FF5">
        <w:rPr>
          <w:rFonts w:ascii="Cambria" w:hAnsi="Cambria"/>
          <w:b/>
          <w:bCs/>
          <w:sz w:val="24"/>
          <w:szCs w:val="24"/>
          <w:lang w:val="en-UG"/>
        </w:rPr>
        <w:t>Industrial policy</w:t>
      </w:r>
      <w:r w:rsidRPr="00E70FF5">
        <w:rPr>
          <w:rFonts w:ascii="Cambria" w:hAnsi="Cambria"/>
          <w:sz w:val="24"/>
          <w:szCs w:val="24"/>
          <w:lang w:val="en-UG"/>
        </w:rPr>
        <w:t xml:space="preserve"> should also encourage greater participation in technology manufacturing and assembly. While advanced semiconductor fabrication is beyond Uganda’s current industrial capacity, encouraging local assembly of user devices, sensors, and supporting digital hardware would strengthen domestic technological capability while creating skilled employment.</w:t>
      </w:r>
    </w:p>
    <w:p w14:paraId="4A86A980" w14:textId="77777777" w:rsidR="00E70FF5" w:rsidRPr="00E70FF5" w:rsidRDefault="00E70FF5" w:rsidP="00E70FF5">
      <w:pPr>
        <w:jc w:val="both"/>
        <w:rPr>
          <w:rFonts w:ascii="Cambria" w:hAnsi="Cambria"/>
          <w:sz w:val="24"/>
          <w:szCs w:val="24"/>
          <w:lang w:val="en-UG"/>
        </w:rPr>
      </w:pPr>
      <w:r w:rsidRPr="00E70FF5">
        <w:rPr>
          <w:rFonts w:ascii="Cambria" w:hAnsi="Cambria"/>
          <w:b/>
          <w:bCs/>
          <w:sz w:val="24"/>
          <w:szCs w:val="24"/>
          <w:lang w:val="en-UG"/>
        </w:rPr>
        <w:t>Fiscal policy</w:t>
      </w:r>
      <w:r w:rsidRPr="00E70FF5">
        <w:rPr>
          <w:rFonts w:ascii="Cambria" w:hAnsi="Cambria"/>
          <w:sz w:val="24"/>
          <w:szCs w:val="24"/>
          <w:lang w:val="en-UG"/>
        </w:rPr>
        <w:t xml:space="preserve"> has an equally important role.</w:t>
      </w:r>
    </w:p>
    <w:p w14:paraId="2B217A87" w14:textId="21A823E1"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 xml:space="preserve">Targeted tax incentives for AI research, innovation, data </w:t>
      </w:r>
      <w:r w:rsidRPr="00E70FF5">
        <w:rPr>
          <w:rFonts w:ascii="Cambria" w:hAnsi="Cambria"/>
          <w:sz w:val="24"/>
          <w:szCs w:val="24"/>
          <w:lang w:val="en-UG"/>
        </w:rPr>
        <w:t>centres</w:t>
      </w:r>
      <w:r w:rsidRPr="00E70FF5">
        <w:rPr>
          <w:rFonts w:ascii="Cambria" w:hAnsi="Cambria"/>
          <w:sz w:val="24"/>
          <w:szCs w:val="24"/>
          <w:lang w:val="en-UG"/>
        </w:rPr>
        <w:t>, local technology firms, and research institutions would encourage long-term investment in sectors that currently struggle to attract patient capital.</w:t>
      </w:r>
    </w:p>
    <w:p w14:paraId="3E665D84" w14:textId="77777777" w:rsidR="00E70FF5" w:rsidRPr="00E70FF5" w:rsidRDefault="00E70FF5" w:rsidP="00E70FF5">
      <w:pPr>
        <w:jc w:val="both"/>
        <w:rPr>
          <w:rFonts w:ascii="Cambria" w:hAnsi="Cambria"/>
          <w:sz w:val="24"/>
          <w:szCs w:val="24"/>
          <w:lang w:val="en-UG"/>
        </w:rPr>
      </w:pPr>
      <w:r w:rsidRPr="00E70FF5">
        <w:rPr>
          <w:rFonts w:ascii="Cambria" w:hAnsi="Cambria"/>
          <w:b/>
          <w:bCs/>
          <w:sz w:val="24"/>
          <w:szCs w:val="24"/>
          <w:lang w:val="en-UG"/>
        </w:rPr>
        <w:t>Human capital</w:t>
      </w:r>
      <w:r w:rsidRPr="00E70FF5">
        <w:rPr>
          <w:rFonts w:ascii="Cambria" w:hAnsi="Cambria"/>
          <w:sz w:val="24"/>
          <w:szCs w:val="24"/>
          <w:lang w:val="en-UG"/>
        </w:rPr>
        <w:t xml:space="preserve"> may ultimately prove the most important investment of all.</w:t>
      </w:r>
    </w:p>
    <w:p w14:paraId="781E6DF0"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Scholarships in Artificial Intelligence, computer science, semiconductor engineering, digital governance, and technology law should become national priorities. Partnerships with global technology companies and leading universities should focus not simply on technology transfer but on developing local research capability, advanced technical skills, and sustainable institutional expertise.</w:t>
      </w:r>
    </w:p>
    <w:p w14:paraId="426C79FD" w14:textId="530A00A5"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 xml:space="preserve">Finally, Uganda should begin </w:t>
      </w:r>
      <w:r w:rsidRPr="00E70FF5">
        <w:rPr>
          <w:rFonts w:ascii="Cambria" w:hAnsi="Cambria"/>
          <w:b/>
          <w:bCs/>
          <w:sz w:val="24"/>
          <w:szCs w:val="24"/>
          <w:lang w:val="en-UG"/>
        </w:rPr>
        <w:t xml:space="preserve">building a </w:t>
      </w:r>
      <w:r w:rsidRPr="00E70FF5">
        <w:rPr>
          <w:rFonts w:ascii="Cambria" w:hAnsi="Cambria"/>
          <w:b/>
          <w:bCs/>
          <w:sz w:val="24"/>
          <w:szCs w:val="24"/>
          <w:lang w:val="en-UG"/>
        </w:rPr>
        <w:t>voluntary national data common</w:t>
      </w:r>
      <w:r w:rsidRPr="00E70FF5">
        <w:rPr>
          <w:rFonts w:ascii="Cambria" w:hAnsi="Cambria"/>
          <w:b/>
          <w:bCs/>
          <w:sz w:val="24"/>
          <w:szCs w:val="24"/>
          <w:lang w:val="en-UG"/>
        </w:rPr>
        <w:t>.</w:t>
      </w:r>
    </w:p>
    <w:p w14:paraId="5690A4AB"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Citizens, businesses, researchers, and public institutions should be encouraged to contribute anonymized, responsibly governed datasets for research and innovation under the safeguards already established by the Data Protection and Privacy Act. Such a framework would strengthen domestic AI development while preserving individual rights and public trust.</w:t>
      </w:r>
    </w:p>
    <w:p w14:paraId="060A1216"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Digital sovereignty begins not with compulsory data collection, but with responsible national stewardship of information voluntarily contributed for the public good.</w:t>
      </w:r>
    </w:p>
    <w:p w14:paraId="4B6480ED" w14:textId="77777777" w:rsidR="00E70FF5" w:rsidRPr="00E70FF5" w:rsidRDefault="00E70FF5" w:rsidP="00E70FF5">
      <w:pPr>
        <w:pStyle w:val="Heading3"/>
        <w:rPr>
          <w:lang w:val="en-UG"/>
        </w:rPr>
      </w:pPr>
      <w:r w:rsidRPr="00E70FF5">
        <w:rPr>
          <w:lang w:val="en-UG"/>
        </w:rPr>
        <w:t>Beyond Consumption</w:t>
      </w:r>
    </w:p>
    <w:p w14:paraId="69B2E102"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Artificial Intelligence is often described as the next industrial revolution.</w:t>
      </w:r>
    </w:p>
    <w:p w14:paraId="0E6EEC8F"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Whether that description proves accurate is less important than what it implies.</w:t>
      </w:r>
    </w:p>
    <w:p w14:paraId="5075F3D4"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Industrial revolutions reward countries that build capability before markets mature. Those that wait often become permanent consumers of technologies developed elsewhere.</w:t>
      </w:r>
    </w:p>
    <w:p w14:paraId="5817E99A"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Uganda still has time to choose differently.</w:t>
      </w:r>
    </w:p>
    <w:p w14:paraId="28698DC4"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The objective should not be technological self-sufficiency. No country achieves that. Nor should the objective be isolation from global innovation. Progress has always depended upon international cooperation.</w:t>
      </w:r>
    </w:p>
    <w:p w14:paraId="7470635A"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The objective should instead be strategic capability.</w:t>
      </w:r>
    </w:p>
    <w:p w14:paraId="16A07B05"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lastRenderedPageBreak/>
        <w:t>A country that invests in its people, protects and governs its data responsibly, builds resilient digital infrastructure, supports domestic innovation, and negotiates international partnerships from a position of institutional strength is far better placed to benefit from Artificial Intelligence than one that simply imports technology and hopes regulation will compensate for the absence of capacity.</w:t>
      </w:r>
    </w:p>
    <w:p w14:paraId="259C2418"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The lesson from cryptocurrency was never that governments should regulate less.</w:t>
      </w:r>
    </w:p>
    <w:p w14:paraId="722165D0"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It was that regulation without institutions, infrastructure, and investment produces uncertainty rather than confidence.</w:t>
      </w:r>
    </w:p>
    <w:p w14:paraId="064BC624"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Artificial Intelligence allows Uganda to avoid repeating that mistake.</w:t>
      </w:r>
    </w:p>
    <w:p w14:paraId="23FD0402"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Digital sovereignty will not be determined by the location of our servers or the branding of our software. It will be determined by whether we have built the capacity to decide how technology serves our national interests, rather than allowing technology to determine them for us.</w:t>
      </w:r>
    </w:p>
    <w:p w14:paraId="3C8F8BA8"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That work begins long before the first Artificial Intelligence Act is passed. It begins with the choices we make today about data, infrastructure, education, investment, and regional cooperation.</w:t>
      </w:r>
    </w:p>
    <w:p w14:paraId="69ED7815" w14:textId="77777777" w:rsidR="00E70FF5" w:rsidRPr="00E70FF5" w:rsidRDefault="00E70FF5" w:rsidP="00E70FF5">
      <w:pPr>
        <w:jc w:val="both"/>
        <w:rPr>
          <w:rFonts w:ascii="Cambria" w:hAnsi="Cambria"/>
          <w:sz w:val="24"/>
          <w:szCs w:val="24"/>
          <w:lang w:val="en-UG"/>
        </w:rPr>
      </w:pPr>
      <w:r w:rsidRPr="00E70FF5">
        <w:rPr>
          <w:rFonts w:ascii="Cambria" w:hAnsi="Cambria"/>
          <w:sz w:val="24"/>
          <w:szCs w:val="24"/>
          <w:lang w:val="en-UG"/>
        </w:rPr>
        <w:t>Those choices will determine whether Uganda participates in the AI economy as a creator of value or merely as one of its largest customers.</w:t>
      </w:r>
    </w:p>
    <w:p w14:paraId="5624A57A" w14:textId="77777777" w:rsidR="00E70FF5" w:rsidRPr="00E70FF5" w:rsidRDefault="00E70FF5" w:rsidP="00E70FF5">
      <w:pPr>
        <w:rPr>
          <w:rFonts w:ascii="Cambria" w:hAnsi="Cambria"/>
          <w:sz w:val="24"/>
          <w:szCs w:val="24"/>
          <w:lang w:val="en-UG"/>
        </w:rPr>
      </w:pPr>
      <w:r w:rsidRPr="00E70FF5">
        <w:rPr>
          <w:rFonts w:ascii="Cambria" w:hAnsi="Cambria"/>
          <w:b/>
          <w:bCs/>
          <w:i/>
          <w:iCs/>
          <w:sz w:val="24"/>
          <w:szCs w:val="24"/>
          <w:lang w:val="en-UG"/>
        </w:rPr>
        <w:t xml:space="preserve">The author is building an independent, self-curated course of study in artificial intelligence law and digital sovereignty with a focus on governance, public infrastructure, and emerging technologies. </w:t>
      </w:r>
    </w:p>
    <w:p w14:paraId="100F46DA" w14:textId="77777777" w:rsidR="006144E3" w:rsidRDefault="006144E3"/>
    <w:sectPr w:rsidR="006144E3">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F363C" w14:textId="77777777" w:rsidR="00E56305" w:rsidRDefault="00E56305" w:rsidP="00E70FF5">
      <w:pPr>
        <w:spacing w:after="0" w:line="240" w:lineRule="auto"/>
      </w:pPr>
      <w:r>
        <w:separator/>
      </w:r>
    </w:p>
  </w:endnote>
  <w:endnote w:type="continuationSeparator" w:id="0">
    <w:p w14:paraId="451DCA4A" w14:textId="77777777" w:rsidR="00E56305" w:rsidRDefault="00E56305" w:rsidP="00E70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209579"/>
      <w:docPartObj>
        <w:docPartGallery w:val="Page Numbers (Bottom of Page)"/>
        <w:docPartUnique/>
      </w:docPartObj>
    </w:sdtPr>
    <w:sdtEndPr>
      <w:rPr>
        <w:color w:val="7F7F7F" w:themeColor="background1" w:themeShade="7F"/>
        <w:spacing w:val="60"/>
      </w:rPr>
    </w:sdtEndPr>
    <w:sdtContent>
      <w:p w14:paraId="6A9AD703" w14:textId="59553C32" w:rsidR="00E70FF5" w:rsidRDefault="00E70FF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C5DAF34" w14:textId="77777777" w:rsidR="00E70FF5" w:rsidRDefault="00E70F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5F20B" w14:textId="77777777" w:rsidR="00E56305" w:rsidRDefault="00E56305" w:rsidP="00E70FF5">
      <w:pPr>
        <w:spacing w:after="0" w:line="240" w:lineRule="auto"/>
      </w:pPr>
      <w:r>
        <w:separator/>
      </w:r>
    </w:p>
  </w:footnote>
  <w:footnote w:type="continuationSeparator" w:id="0">
    <w:p w14:paraId="55DACB34" w14:textId="77777777" w:rsidR="00E56305" w:rsidRDefault="00E56305" w:rsidP="00E70FF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FF5"/>
    <w:rsid w:val="00224F65"/>
    <w:rsid w:val="003A0584"/>
    <w:rsid w:val="006144E3"/>
    <w:rsid w:val="00E56305"/>
    <w:rsid w:val="00E70FF5"/>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A06B4"/>
  <w15:chartTrackingRefBased/>
  <w15:docId w15:val="{84822DA3-78CA-42AF-BF37-4837BE08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0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0F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F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0F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0F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FF5"/>
    <w:rPr>
      <w:rFonts w:eastAsiaTheme="majorEastAsia" w:cstheme="majorBidi"/>
      <w:color w:val="272727" w:themeColor="text1" w:themeTint="D8"/>
    </w:rPr>
  </w:style>
  <w:style w:type="paragraph" w:styleId="Title">
    <w:name w:val="Title"/>
    <w:basedOn w:val="Normal"/>
    <w:next w:val="Normal"/>
    <w:link w:val="TitleChar"/>
    <w:uiPriority w:val="10"/>
    <w:qFormat/>
    <w:rsid w:val="00E70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FF5"/>
    <w:pPr>
      <w:spacing w:before="160"/>
      <w:jc w:val="center"/>
    </w:pPr>
    <w:rPr>
      <w:i/>
      <w:iCs/>
      <w:color w:val="404040" w:themeColor="text1" w:themeTint="BF"/>
    </w:rPr>
  </w:style>
  <w:style w:type="character" w:customStyle="1" w:styleId="QuoteChar">
    <w:name w:val="Quote Char"/>
    <w:basedOn w:val="DefaultParagraphFont"/>
    <w:link w:val="Quote"/>
    <w:uiPriority w:val="29"/>
    <w:rsid w:val="00E70FF5"/>
    <w:rPr>
      <w:i/>
      <w:iCs/>
      <w:color w:val="404040" w:themeColor="text1" w:themeTint="BF"/>
    </w:rPr>
  </w:style>
  <w:style w:type="paragraph" w:styleId="ListParagraph">
    <w:name w:val="List Paragraph"/>
    <w:basedOn w:val="Normal"/>
    <w:uiPriority w:val="34"/>
    <w:qFormat/>
    <w:rsid w:val="00E70FF5"/>
    <w:pPr>
      <w:ind w:left="720"/>
      <w:contextualSpacing/>
    </w:pPr>
  </w:style>
  <w:style w:type="character" w:styleId="IntenseEmphasis">
    <w:name w:val="Intense Emphasis"/>
    <w:basedOn w:val="DefaultParagraphFont"/>
    <w:uiPriority w:val="21"/>
    <w:qFormat/>
    <w:rsid w:val="00E70FF5"/>
    <w:rPr>
      <w:i/>
      <w:iCs/>
      <w:color w:val="0F4761" w:themeColor="accent1" w:themeShade="BF"/>
    </w:rPr>
  </w:style>
  <w:style w:type="paragraph" w:styleId="IntenseQuote">
    <w:name w:val="Intense Quote"/>
    <w:basedOn w:val="Normal"/>
    <w:next w:val="Normal"/>
    <w:link w:val="IntenseQuoteChar"/>
    <w:uiPriority w:val="30"/>
    <w:qFormat/>
    <w:rsid w:val="00E70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FF5"/>
    <w:rPr>
      <w:i/>
      <w:iCs/>
      <w:color w:val="0F4761" w:themeColor="accent1" w:themeShade="BF"/>
    </w:rPr>
  </w:style>
  <w:style w:type="character" w:styleId="IntenseReference">
    <w:name w:val="Intense Reference"/>
    <w:basedOn w:val="DefaultParagraphFont"/>
    <w:uiPriority w:val="32"/>
    <w:qFormat/>
    <w:rsid w:val="00E70FF5"/>
    <w:rPr>
      <w:b/>
      <w:bCs/>
      <w:smallCaps/>
      <w:color w:val="0F4761" w:themeColor="accent1" w:themeShade="BF"/>
      <w:spacing w:val="5"/>
    </w:rPr>
  </w:style>
  <w:style w:type="paragraph" w:styleId="Header">
    <w:name w:val="header"/>
    <w:basedOn w:val="Normal"/>
    <w:link w:val="HeaderChar"/>
    <w:uiPriority w:val="99"/>
    <w:unhideWhenUsed/>
    <w:rsid w:val="00E70F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0FF5"/>
  </w:style>
  <w:style w:type="paragraph" w:styleId="Footer">
    <w:name w:val="footer"/>
    <w:basedOn w:val="Normal"/>
    <w:link w:val="FooterChar"/>
    <w:uiPriority w:val="99"/>
    <w:unhideWhenUsed/>
    <w:rsid w:val="00E70F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0F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2071</Words>
  <Characters>11811</Characters>
  <Application>Microsoft Office Word</Application>
  <DocSecurity>0</DocSecurity>
  <Lines>98</Lines>
  <Paragraphs>27</Paragraphs>
  <ScaleCrop>false</ScaleCrop>
  <Company/>
  <LinksUpToDate>false</LinksUpToDate>
  <CharactersWithSpaces>13855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 Strategy</dc:creator>
  <cp:keywords/>
  <dc:description/>
  <cp:lastModifiedBy>Intern Strategy</cp:lastModifiedBy>
  <cp:revision>1</cp:revision>
  <dcterms:created xsi:type="dcterms:W3CDTF">2026-08-05T17:38:00Z</dcterms:created>
  <dcterms:modified xsi:type="dcterms:W3CDTF">2026-08-05T17:48:00Z</dcterms:modified>
</cp:coreProperties>
</file>