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ookman Old Style" w:hAnsi="Bookman Old Style"/>
          <w:b/>
          <w:sz w:val="32"/>
        </w:rPr>
        <w:t>EXECUTIVE FELLOWSHIP: AI LAW &amp; DIGITAL SOVEREIGNTY</w:t>
        <w:br/>
        <w:t>Assessment Record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/>
          <w:i w:val="0"/>
          <w:sz w:val="24"/>
        </w:rPr>
        <w:t>Module 1: Digital Technology Fundamentals</w:t>
      </w:r>
    </w:p>
    <w:p>
      <w:r>
        <w:rPr>
          <w:rFonts w:ascii="Bookman Old Style" w:hAnsi="Bookman Old Style"/>
          <w:b w:val="0"/>
          <w:i w:val="0"/>
          <w:sz w:val="24"/>
        </w:rPr>
        <w:t>Week 1: Computer Systems (Hardware, Software, OS, Networks)</w:t>
      </w:r>
    </w:p>
    <w:p>
      <w:r>
        <w:rPr>
          <w:rFonts w:ascii="Bookman Old Style" w:hAnsi="Bookman Old Style"/>
          <w:b w:val="0"/>
          <w:i w:val="0"/>
          <w:sz w:val="24"/>
        </w:rPr>
        <w:t>Formative Assessment – 50 Marks</w:t>
      </w:r>
    </w:p>
    <w:p>
      <w:r>
        <w:rPr>
          <w:rFonts w:ascii="Bookman Old Style" w:hAnsi="Bookman Old Style"/>
          <w:b w:val="0"/>
          <w:i w:val="0"/>
          <w:sz w:val="24"/>
        </w:rPr>
        <w:t>Date: [Date]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pPr>
        <w:pStyle w:val="Heading2"/>
      </w:pPr>
      <w:r>
        <w:rPr>
          <w:rFonts w:ascii="Bookman Old Style" w:hAnsi="Bookman Old Style"/>
          <w:color w:val="000000"/>
        </w:rPr>
        <w:t>Overall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Bookman Old Style" w:hAnsi="Bookman Old Style"/>
                <w:b/>
                <w:sz w:val="22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b/>
                <w:sz w:val="22"/>
              </w:rPr>
              <w:t>Candidate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b/>
                <w:sz w:val="22"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b/>
                <w:sz w:val="22"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b/>
                <w:sz w:val="22"/>
              </w:rPr>
              <w:t>Percentage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b/>
                <w:sz w:val="22"/>
              </w:rPr>
              <w:t>Remarks</w:t>
            </w:r>
          </w:p>
        </w:tc>
      </w:tr>
      <w:tr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Danson Twesigomwe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28 / 50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56%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Ingrid Katabazi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38 / 50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76%</w:t>
            </w:r>
          </w:p>
        </w:tc>
        <w:tc>
          <w:tcPr>
            <w:tcW w:type="dxa" w:w="1440"/>
          </w:tcPr>
          <w:p>
            <w:r>
              <w:rPr>
                <w:rFonts w:ascii="Bookman Old Style" w:hAnsi="Bookman Old Style"/>
                <w:sz w:val="22"/>
              </w:rPr>
              <w:t>Credit</w:t>
            </w:r>
          </w:p>
        </w:tc>
      </w:tr>
    </w:tbl>
    <w:p>
      <w:r>
        <w:rPr>
          <w:rFonts w:ascii="Bookman Old Style" w:hAnsi="Bookman Old Style"/>
          <w:b w:val="0"/>
          <w:i w:val="0"/>
          <w:sz w:val="24"/>
        </w:rPr>
      </w:r>
    </w:p>
    <w:p>
      <w:pPr>
        <w:pStyle w:val="Heading2"/>
      </w:pPr>
      <w:r>
        <w:rPr>
          <w:rFonts w:ascii="Bookman Old Style" w:hAnsi="Bookman Old Style"/>
          <w:color w:val="000000"/>
        </w:rPr>
        <w:t>Section-by-Section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Bookman Old Style" w:hAnsi="Bookman Old Style"/>
                <w:b/>
                <w:sz w:val="20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b/>
                <w:sz w:val="20"/>
              </w:rPr>
              <w:t>Sec A MCQs</w:t>
              <w:br/>
              <w:t>(12)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b/>
                <w:sz w:val="20"/>
              </w:rPr>
              <w:t>Sec B Short</w:t>
              <w:br/>
              <w:t>Answer (12)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b/>
                <w:sz w:val="20"/>
              </w:rPr>
              <w:t>Sec C Problem</w:t>
              <w:br/>
              <w:t>Questions (18)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b/>
                <w:sz w:val="20"/>
              </w:rPr>
              <w:t>Sec D Drafting</w:t>
              <w:br/>
              <w:t>(8)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b/>
                <w:sz w:val="20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b/>
                <w:sz w:val="20"/>
              </w:rPr>
              <w:t>Grade</w:t>
            </w:r>
          </w:p>
        </w:tc>
      </w:tr>
      <w:tr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Danson Twesigomwe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8 / 12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6.5 / 12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8 / 18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2 / 8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28 / 50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D (56%)</w:t>
            </w:r>
          </w:p>
        </w:tc>
      </w:tr>
      <w:tr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Ingrid Katabazi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12 / 12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9.5 / 12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9 / 18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7 / 8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38 / 50</w:t>
            </w:r>
          </w:p>
        </w:tc>
        <w:tc>
          <w:tcPr>
            <w:tcW w:type="dxa" w:w="1234"/>
          </w:tcPr>
          <w:p>
            <w:r>
              <w:rPr>
                <w:rFonts w:ascii="Bookman Old Style" w:hAnsi="Bookman Old Style"/>
                <w:sz w:val="20"/>
              </w:rPr>
              <w:t>B (76%)</w:t>
            </w:r>
          </w:p>
        </w:tc>
      </w:tr>
    </w:tbl>
    <w:p>
      <w:r>
        <w:rPr>
          <w:rFonts w:ascii="Bookman Old Style" w:hAnsi="Bookman Old Style"/>
          <w:b w:val="0"/>
          <w:i w:val="0"/>
          <w:sz w:val="24"/>
        </w:rPr>
      </w:r>
    </w:p>
    <w:p>
      <w:pPr>
        <w:pStyle w:val="Heading2"/>
      </w:pPr>
      <w:r>
        <w:rPr>
          <w:rFonts w:ascii="Bookman Old Style" w:hAnsi="Bookman Old Style"/>
          <w:color w:val="000000"/>
        </w:rPr>
        <w:t>Individual Assessment Records</w:t>
      </w:r>
    </w:p>
    <w:p>
      <w:pPr>
        <w:pStyle w:val="Heading3"/>
      </w:pPr>
      <w:r>
        <w:rPr>
          <w:rFonts w:ascii="Bookman Old Style" w:hAnsi="Bookman Old Style"/>
          <w:color w:val="000000"/>
        </w:rPr>
        <w:t>Candidate 1: Danson Twesigomwe</w:t>
      </w:r>
    </w:p>
    <w:p>
      <w:r>
        <w:rPr>
          <w:rFonts w:ascii="Bookman Old Style" w:hAnsi="Bookman Old Style"/>
          <w:b/>
          <w:i w:val="0"/>
          <w:sz w:val="24"/>
        </w:rPr>
        <w:t>Score: 28 / 50 (56%) – Grade D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/>
          <w:i w:val="0"/>
          <w:sz w:val="24"/>
        </w:rPr>
        <w:t>Section A – Multiple Choice (12 marks): 8/12</w:t>
      </w:r>
    </w:p>
    <w:p>
      <w:r>
        <w:rPr>
          <w:rFonts w:ascii="Bookman Old Style" w:hAnsi="Bookman Old Style"/>
          <w:b w:val="0"/>
          <w:i w:val="0"/>
          <w:sz w:val="24"/>
        </w:rPr>
        <w:t>Q1 (4 marks): Correct. Identified hardware layer as primary failure. +4</w:t>
      </w:r>
    </w:p>
    <w:p>
      <w:r>
        <w:rPr>
          <w:rFonts w:ascii="Bookman Old Style" w:hAnsi="Bookman Old Style"/>
          <w:b w:val="0"/>
          <w:i w:val="0"/>
          <w:sz w:val="24"/>
        </w:rPr>
        <w:t>Q2 (4 marks): Correct. Kernel mode vs user mode distinction accurate. +4</w:t>
      </w:r>
    </w:p>
    <w:p>
      <w:r>
        <w:rPr>
          <w:rFonts w:ascii="Bookman Old Style" w:hAnsi="Bookman Old Style"/>
          <w:b w:val="0"/>
          <w:i w:val="0"/>
          <w:sz w:val="24"/>
        </w:rPr>
        <w:t>Q3 (4 marks): Incorrect. Misidentified network edge instead of network core. 0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/>
          <w:i w:val="0"/>
          <w:sz w:val="24"/>
        </w:rPr>
        <w:t>Section B – Short Answer (12 marks): 6.5/12</w:t>
      </w:r>
    </w:p>
    <w:p>
      <w:r>
        <w:rPr>
          <w:rFonts w:ascii="Bookman Old Style" w:hAnsi="Bookman Old Style"/>
          <w:b w:val="0"/>
          <w:i w:val="0"/>
          <w:sz w:val="24"/>
        </w:rPr>
        <w:t>Q4(a): 2/3 marks. Identified refurbished hardware (good) and monolithic legal treatment (partial).</w:t>
      </w:r>
    </w:p>
    <w:p>
      <w:r>
        <w:rPr>
          <w:rFonts w:ascii="Bookman Old Style" w:hAnsi="Bookman Old Style"/>
          <w:b w:val="0"/>
          <w:i w:val="0"/>
          <w:sz w:val="24"/>
        </w:rPr>
        <w:t>Q4(b): 2/3 marks. Strong on privity and goods/services distinction. Weaker on product liability framing.</w:t>
      </w:r>
    </w:p>
    <w:p>
      <w:r>
        <w:rPr>
          <w:rFonts w:ascii="Bookman Old Style" w:hAnsi="Bookman Old Style"/>
          <w:b w:val="0"/>
          <w:i w:val="0"/>
          <w:sz w:val="24"/>
        </w:rPr>
        <w:t>Q5(a): 1/2 marks. Named RAM and Cache but missed CPU Registers.</w:t>
      </w:r>
    </w:p>
    <w:p>
      <w:r>
        <w:rPr>
          <w:rFonts w:ascii="Bookman Old Style" w:hAnsi="Bookman Old Style"/>
          <w:b w:val="0"/>
          <w:i w:val="0"/>
          <w:sz w:val="24"/>
        </w:rPr>
        <w:t>Q5(b): 1/2 marks. Mentioned cache and system logs but incomplete.</w:t>
      </w:r>
    </w:p>
    <w:p>
      <w:r>
        <w:rPr>
          <w:rFonts w:ascii="Bookman Old Style" w:hAnsi="Bookman Old Style"/>
          <w:b w:val="0"/>
          <w:i w:val="0"/>
          <w:sz w:val="24"/>
        </w:rPr>
        <w:t>Q5(c): 0.5/2 marks. Inadequate procedure description.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/>
          <w:i w:val="0"/>
          <w:sz w:val="24"/>
        </w:rPr>
        <w:t>Section C – Problem Questions (18 marks): 8/18</w:t>
      </w:r>
    </w:p>
    <w:p>
      <w:r>
        <w:rPr>
          <w:rFonts w:ascii="Bookman Old Style" w:hAnsi="Bookman Old Style"/>
          <w:b w:val="0"/>
          <w:i w:val="0"/>
          <w:sz w:val="24"/>
        </w:rPr>
        <w:t>Q6(a): 2/2 marks. Correct statutes cited.</w:t>
      </w:r>
    </w:p>
    <w:p>
      <w:r>
        <w:rPr>
          <w:rFonts w:ascii="Bookman Old Style" w:hAnsi="Bookman Old Style"/>
          <w:b w:val="0"/>
          <w:i w:val="0"/>
          <w:sz w:val="24"/>
        </w:rPr>
        <w:t>Q6(b): 2/2 marks. Section 8(5) ETA accurately referenced.</w:t>
      </w:r>
    </w:p>
    <w:p>
      <w:r>
        <w:rPr>
          <w:rFonts w:ascii="Bookman Old Style" w:hAnsi="Bookman Old Style"/>
          <w:b w:val="0"/>
          <w:i w:val="0"/>
          <w:sz w:val="24"/>
        </w:rPr>
        <w:t>Q6(c): 1/1 mark. S101 Evidence Act cited.</w:t>
      </w:r>
    </w:p>
    <w:p>
      <w:r>
        <w:rPr>
          <w:rFonts w:ascii="Bookman Old Style" w:hAnsi="Bookman Old Style"/>
          <w:b w:val="0"/>
          <w:i w:val="0"/>
          <w:sz w:val="24"/>
        </w:rPr>
        <w:t>Q6(d): 0.5/1 mark. Mentioned secondary memory but missed corroborative evidence.</w:t>
      </w:r>
    </w:p>
    <w:p>
      <w:r>
        <w:rPr>
          <w:rFonts w:ascii="Bookman Old Style" w:hAnsi="Bookman Old Style"/>
          <w:b w:val="0"/>
          <w:i w:val="0"/>
          <w:sz w:val="24"/>
        </w:rPr>
        <w:t>Q7(a): 1/1 mark. Correctly identified both parties' layer claims.</w:t>
      </w:r>
    </w:p>
    <w:p>
      <w:r>
        <w:rPr>
          <w:rFonts w:ascii="Bookman Old Style" w:hAnsi="Bookman Old Style"/>
          <w:b w:val="0"/>
          <w:i w:val="0"/>
          <w:sz w:val="24"/>
        </w:rPr>
        <w:t>Q7(b): 1/2 marks. Purchase agreements identified; missed source code and profiling logs.</w:t>
      </w:r>
    </w:p>
    <w:p>
      <w:r>
        <w:rPr>
          <w:rFonts w:ascii="Bookman Old Style" w:hAnsi="Bookman Old Style"/>
          <w:b w:val="0"/>
          <w:i w:val="0"/>
          <w:sz w:val="24"/>
        </w:rPr>
        <w:t>Q7(c): 0.5/1 mark. Act correct (Cap 292) but wrong section number (Cap 79 is current).</w:t>
      </w:r>
    </w:p>
    <w:p>
      <w:r>
        <w:rPr>
          <w:rFonts w:ascii="Bookman Old Style" w:hAnsi="Bookman Old Style"/>
          <w:b w:val="0"/>
          <w:i w:val="0"/>
          <w:sz w:val="24"/>
        </w:rPr>
        <w:t>Q7(d): 0/2 marks. Answered the wrong question entirely.</w:t>
      </w:r>
    </w:p>
    <w:p>
      <w:r>
        <w:rPr>
          <w:rFonts w:ascii="Bookman Old Style" w:hAnsi="Bookman Old Style"/>
          <w:b w:val="0"/>
          <w:i w:val="0"/>
          <w:sz w:val="24"/>
        </w:rPr>
        <w:t>Q8(a): 0/2 marks. Conceptual error: escalation direction reversed.</w:t>
      </w:r>
    </w:p>
    <w:p>
      <w:r>
        <w:rPr>
          <w:rFonts w:ascii="Bookman Old Style" w:hAnsi="Bookman Old Style"/>
          <w:b w:val="0"/>
          <w:i w:val="0"/>
          <w:sz w:val="24"/>
        </w:rPr>
        <w:t>Q8(b): 1.5/2 marks. S12 and S15 cited correctly.</w:t>
      </w:r>
    </w:p>
    <w:p>
      <w:r>
        <w:rPr>
          <w:rFonts w:ascii="Bookman Old Style" w:hAnsi="Bookman Old Style"/>
          <w:b w:val="0"/>
          <w:i w:val="0"/>
          <w:sz w:val="24"/>
        </w:rPr>
        <w:t>Q8(c): 0/2 marks. Not answered.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/>
          <w:i w:val="0"/>
          <w:sz w:val="24"/>
        </w:rPr>
        <w:t>Section D – Drafting (8 marks): 2/8</w:t>
      </w:r>
    </w:p>
    <w:p>
      <w:r>
        <w:rPr>
          <w:rFonts w:ascii="Bookman Old Style" w:hAnsi="Bookman Old Style"/>
          <w:b w:val="0"/>
          <w:i w:val="0"/>
          <w:sz w:val="24"/>
        </w:rPr>
        <w:t>Q9: Only 3 questions submitted (needed 8–10). Questions too basic; failed to systematically isolate failure layer.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pPr>
        <w:pStyle w:val="Heading3"/>
      </w:pPr>
      <w:r>
        <w:rPr>
          <w:rFonts w:ascii="Bookman Old Style" w:hAnsi="Bookman Old Style"/>
          <w:color w:val="000000"/>
        </w:rPr>
        <w:t>Candidate 2: Ingrid Katabazi</w:t>
      </w:r>
    </w:p>
    <w:p>
      <w:r>
        <w:rPr>
          <w:rFonts w:ascii="Bookman Old Style" w:hAnsi="Bookman Old Style"/>
          <w:b/>
          <w:i w:val="0"/>
          <w:sz w:val="24"/>
        </w:rPr>
        <w:t>Score: 38 / 50 (76%) – Grade B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/>
          <w:i w:val="0"/>
          <w:sz w:val="24"/>
        </w:rPr>
        <w:t>Section A – Multiple Choice (12 marks): 12/12</w:t>
      </w:r>
    </w:p>
    <w:p>
      <w:r>
        <w:rPr>
          <w:rFonts w:ascii="Bookman Old Style" w:hAnsi="Bookman Old Style"/>
          <w:b w:val="0"/>
          <w:i w:val="0"/>
          <w:sz w:val="24"/>
        </w:rPr>
        <w:t>Q1: Correct. +4</w:t>
      </w:r>
    </w:p>
    <w:p>
      <w:r>
        <w:rPr>
          <w:rFonts w:ascii="Bookman Old Style" w:hAnsi="Bookman Old Style"/>
          <w:b w:val="0"/>
          <w:i w:val="0"/>
          <w:sz w:val="24"/>
        </w:rPr>
        <w:t>Q2: Correct. +4</w:t>
      </w:r>
    </w:p>
    <w:p>
      <w:r>
        <w:rPr>
          <w:rFonts w:ascii="Bookman Old Style" w:hAnsi="Bookman Old Style"/>
          <w:b w:val="0"/>
          <w:i w:val="0"/>
          <w:sz w:val="24"/>
        </w:rPr>
        <w:t>Q3: Correct. +4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/>
          <w:i w:val="0"/>
          <w:sz w:val="24"/>
        </w:rPr>
        <w:t>Section B – Short Answer (12 marks): 9.5/12</w:t>
      </w:r>
    </w:p>
    <w:p>
      <w:r>
        <w:rPr>
          <w:rFonts w:ascii="Bookman Old Style" w:hAnsi="Bookman Old Style"/>
          <w:b w:val="0"/>
          <w:i w:val="0"/>
          <w:sz w:val="24"/>
        </w:rPr>
        <w:t>Q4(a): 2.5/3 marks. Strong institutional and precedent differences; missed hardware dimension.</w:t>
      </w:r>
    </w:p>
    <w:p>
      <w:r>
        <w:rPr>
          <w:rFonts w:ascii="Bookman Old Style" w:hAnsi="Bookman Old Style"/>
          <w:b w:val="0"/>
          <w:i w:val="0"/>
          <w:sz w:val="24"/>
        </w:rPr>
        <w:t>Q4(b): 2.5/3 marks. Excellent litigation strategy framing.</w:t>
      </w:r>
    </w:p>
    <w:p>
      <w:r>
        <w:rPr>
          <w:rFonts w:ascii="Bookman Old Style" w:hAnsi="Bookman Old Style"/>
          <w:b w:val="0"/>
          <w:i w:val="0"/>
          <w:sz w:val="24"/>
        </w:rPr>
        <w:t>Q5(a): 2/2 marks. All three volatile types identified.</w:t>
      </w:r>
    </w:p>
    <w:p>
      <w:r>
        <w:rPr>
          <w:rFonts w:ascii="Bookman Old Style" w:hAnsi="Bookman Old Style"/>
          <w:b w:val="0"/>
          <w:i w:val="0"/>
          <w:sz w:val="24"/>
        </w:rPr>
        <w:t>Q5(b): 1.5/2 marks. Specific examples; minor deduction for not stating forensic significance explicitly.</w:t>
      </w:r>
    </w:p>
    <w:p>
      <w:r>
        <w:rPr>
          <w:rFonts w:ascii="Bookman Old Style" w:hAnsi="Bookman Old Style"/>
          <w:b w:val="0"/>
          <w:i w:val="0"/>
          <w:sz w:val="24"/>
        </w:rPr>
        <w:t>Q5(c): 1.5/2 marks. Good procedure; missed live memory acquisition step.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/>
          <w:i w:val="0"/>
          <w:sz w:val="24"/>
        </w:rPr>
        <w:t>Section C – Problem Questions (18 marks): 9/18</w:t>
      </w:r>
    </w:p>
    <w:p>
      <w:r>
        <w:rPr>
          <w:rFonts w:ascii="Bookman Old Style" w:hAnsi="Bookman Old Style"/>
          <w:b w:val="0"/>
          <w:i w:val="0"/>
          <w:sz w:val="24"/>
        </w:rPr>
        <w:t>Q6(a): 1/2 marks. Listed multiple statutes instead of pinpointing ETA.</w:t>
      </w:r>
    </w:p>
    <w:p>
      <w:r>
        <w:rPr>
          <w:rFonts w:ascii="Bookman Old Style" w:hAnsi="Bookman Old Style"/>
          <w:b w:val="0"/>
          <w:i w:val="0"/>
          <w:sz w:val="24"/>
        </w:rPr>
        <w:t>Q6(b): 1.5/2 marks. Correct reasoning; should cite S8(5) directly.</w:t>
      </w:r>
    </w:p>
    <w:p>
      <w:r>
        <w:rPr>
          <w:rFonts w:ascii="Bookman Old Style" w:hAnsi="Bookman Old Style"/>
          <w:b w:val="0"/>
          <w:i w:val="0"/>
          <w:sz w:val="24"/>
        </w:rPr>
        <w:t>Q6(c): 1/1 mark. Correct.</w:t>
      </w:r>
    </w:p>
    <w:p>
      <w:r>
        <w:rPr>
          <w:rFonts w:ascii="Bookman Old Style" w:hAnsi="Bookman Old Style"/>
          <w:b w:val="0"/>
          <w:i w:val="0"/>
          <w:sz w:val="24"/>
        </w:rPr>
        <w:t>Q6(d): 1/1 mark. Correct.</w:t>
      </w:r>
    </w:p>
    <w:p>
      <w:r>
        <w:rPr>
          <w:rFonts w:ascii="Bookman Old Style" w:hAnsi="Bookman Old Style"/>
          <w:b w:val="0"/>
          <w:i w:val="0"/>
          <w:sz w:val="24"/>
        </w:rPr>
        <w:t>Q7(a): 0.5/1 mark. Described claims but did not name abstraction layers.</w:t>
      </w:r>
    </w:p>
    <w:p>
      <w:r>
        <w:rPr>
          <w:rFonts w:ascii="Bookman Old Style" w:hAnsi="Bookman Old Style"/>
          <w:b w:val="0"/>
          <w:i w:val="0"/>
          <w:sz w:val="24"/>
        </w:rPr>
        <w:t>Q7(b): 1.5/2 marks. Good evidence requests; could add memory profiling logs.</w:t>
      </w:r>
    </w:p>
    <w:p>
      <w:r>
        <w:rPr>
          <w:rFonts w:ascii="Bookman Old Style" w:hAnsi="Bookman Old Style"/>
          <w:b w:val="0"/>
          <w:i w:val="0"/>
          <w:sz w:val="24"/>
        </w:rPr>
        <w:t>Q7(c): 1/1 mark. Correct statute.</w:t>
      </w:r>
    </w:p>
    <w:p>
      <w:r>
        <w:rPr>
          <w:rFonts w:ascii="Bookman Old Style" w:hAnsi="Bookman Old Style"/>
          <w:b w:val="0"/>
          <w:i w:val="0"/>
          <w:sz w:val="24"/>
        </w:rPr>
        <w:t>Q7(d): 1/2 marks. Fitness-for-purpose identified; missing causation elements.</w:t>
      </w:r>
    </w:p>
    <w:p>
      <w:r>
        <w:rPr>
          <w:rFonts w:ascii="Bookman Old Style" w:hAnsi="Bookman Old Style"/>
          <w:b w:val="0"/>
          <w:i w:val="0"/>
          <w:sz w:val="24"/>
        </w:rPr>
        <w:t>Q8(a): 2/2 marks. Excellent escalation explanation.</w:t>
      </w:r>
    </w:p>
    <w:p>
      <w:r>
        <w:rPr>
          <w:rFonts w:ascii="Bookman Old Style" w:hAnsi="Bookman Old Style"/>
          <w:b w:val="0"/>
          <w:i w:val="0"/>
          <w:sz w:val="24"/>
        </w:rPr>
        <w:t>Q8(b): 1/2 marks. Identified parties but no specific CMA sections cited.</w:t>
      </w:r>
    </w:p>
    <w:p>
      <w:r>
        <w:rPr>
          <w:rFonts w:ascii="Bookman Old Style" w:hAnsi="Bookman Old Style"/>
          <w:b w:val="0"/>
          <w:i w:val="0"/>
          <w:sz w:val="24"/>
        </w:rPr>
        <w:t>Q8(c): 1/2 marks. Two layers covered; missed OS and network layers.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/>
          <w:i w:val="0"/>
          <w:sz w:val="24"/>
        </w:rPr>
        <w:t>Section D – Drafting (8 marks): 7/8</w:t>
      </w:r>
    </w:p>
    <w:p>
      <w:r>
        <w:rPr>
          <w:rFonts w:ascii="Bookman Old Style" w:hAnsi="Bookman Old Style"/>
          <w:b w:val="0"/>
          <w:i w:val="0"/>
          <w:sz w:val="24"/>
        </w:rPr>
        <w:t>Q9: 8 well-structured questions differentiating OS and hardware layers. Minor deduction for no prior-incident follow-up.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pPr>
        <w:pStyle w:val="Heading2"/>
      </w:pPr>
      <w:r>
        <w:rPr>
          <w:rFonts w:ascii="Bookman Old Style" w:hAnsi="Bookman Old Style"/>
          <w:color w:val="000000"/>
        </w:rPr>
        <w:t>Summary &amp; Trends</w:t>
      </w:r>
    </w:p>
    <w:p>
      <w:r>
        <w:rPr>
          <w:rFonts w:ascii="Bookman Old Style" w:hAnsi="Bookman Old Style"/>
          <w:b w:val="0"/>
          <w:i w:val="0"/>
          <w:sz w:val="24"/>
        </w:rPr>
        <w:t>Strengths across both candidates:</w:t>
      </w:r>
    </w:p>
    <w:p>
      <w:r>
        <w:rPr>
          <w:rFonts w:ascii="Bookman Old Style" w:hAnsi="Bookman Old Style"/>
          <w:b w:val="0"/>
          <w:i/>
          <w:sz w:val="24"/>
        </w:rPr>
        <w:t>• Both correctly answered MCQ on hardware vs software abstraction layers (Q1, Q2).</w:t>
      </w:r>
    </w:p>
    <w:p>
      <w:r>
        <w:rPr>
          <w:rFonts w:ascii="Bookman Old Style" w:hAnsi="Bookman Old Style"/>
          <w:b w:val="0"/>
          <w:i/>
          <w:sz w:val="24"/>
        </w:rPr>
        <w:t>• Both demonstrated awareness of the Foundation-to-Tune framework (Q4).</w:t>
      </w:r>
    </w:p>
    <w:p>
      <w:r>
        <w:rPr>
          <w:rFonts w:ascii="Bookman Old Style" w:hAnsi="Bookman Old Style"/>
          <w:b w:val="0"/>
          <w:i/>
          <w:sz w:val="24"/>
        </w:rPr>
        <w:t>• Both identified RAM and Cache as volatile memory types (Q5).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 w:val="0"/>
          <w:i w:val="0"/>
          <w:sz w:val="24"/>
        </w:rPr>
        <w:t>Weaknesses across both candidates:</w:t>
      </w:r>
    </w:p>
    <w:p>
      <w:r>
        <w:rPr>
          <w:rFonts w:ascii="Bookman Old Style" w:hAnsi="Bookman Old Style"/>
          <w:b w:val="0"/>
          <w:i/>
          <w:sz w:val="24"/>
        </w:rPr>
        <w:t>• Both scored poorly on Section C Problem Questions (avg 8.5/18).</w:t>
      </w:r>
    </w:p>
    <w:p>
      <w:r>
        <w:rPr>
          <w:rFonts w:ascii="Bookman Old Style" w:hAnsi="Bookman Old Style"/>
          <w:b w:val="0"/>
          <w:i/>
          <w:sz w:val="24"/>
        </w:rPr>
        <w:t>• Both missed key CMA section citations (S14, S24).</w:t>
      </w:r>
    </w:p>
    <w:p>
      <w:r>
        <w:rPr>
          <w:rFonts w:ascii="Bookman Old Style" w:hAnsi="Bookman Old Style"/>
          <w:b w:val="0"/>
          <w:i/>
          <w:sz w:val="24"/>
        </w:rPr>
        <w:t>• Both struggled with multi-layer security analysis (Q8c).</w:t>
      </w:r>
    </w:p>
    <w:p>
      <w:r>
        <w:rPr>
          <w:rFonts w:ascii="Bookman Old Style" w:hAnsi="Bookman Old Style"/>
          <w:b w:val="0"/>
          <w:i/>
          <w:sz w:val="24"/>
        </w:rPr>
        <w:t>• Danson's conceptual error on privilege escalation direction (Q8a) is a critical misunderstanding.</w:t>
      </w:r>
    </w:p>
    <w:p>
      <w:r>
        <w:rPr>
          <w:rFonts w:ascii="Bookman Old Style" w:hAnsi="Bookman Old Style"/>
          <w:b w:val="0"/>
          <w:i w:val="0"/>
          <w:sz w:val="24"/>
        </w:rPr>
      </w:r>
    </w:p>
    <w:p>
      <w:r>
        <w:rPr>
          <w:rFonts w:ascii="Bookman Old Style" w:hAnsi="Bookman Old Style"/>
          <w:b w:val="0"/>
          <w:i w:val="0"/>
          <w:sz w:val="24"/>
        </w:rPr>
        <w:t>Assessment conducted by: [Assessor Name]</w:t>
      </w:r>
    </w:p>
    <w:p>
      <w:r>
        <w:rPr>
          <w:rFonts w:ascii="Bookman Old Style" w:hAnsi="Bookman Old Style"/>
          <w:b w:val="0"/>
          <w:i w:val="0"/>
          <w:sz w:val="24"/>
        </w:rPr>
        <w:t>Date: [Date]</w:t>
      </w:r>
    </w:p>
    <w:p>
      <w:pPr/>
    </w:p>
    <w:p>
      <w:pPr/>
      <w:r>
        <w:rPr>
          <w:b/>
        </w:rPr>
        <w:t>Module 1: Digital Technology Fundamentals</w:t>
      </w:r>
    </w:p>
    <w:p>
      <w:pPr/>
      <w:r>
        <w:rPr>
          <w:b w:val="0"/>
        </w:rPr>
        <w:t>Week 2: Internet Architecture — Formative Assessment</w:t>
      </w:r>
    </w:p>
    <w:p>
      <w:pPr/>
      <w:r>
        <w:rPr>
          <w:b w:val="0"/>
        </w:rPr>
        <w:t>Date: [Date]</w:t>
      </w:r>
    </w:p>
    <w:p>
      <w:pPr/>
    </w:p>
    <w:p>
      <w:pPr>
        <w:pStyle w:val="Heading2"/>
      </w:pPr>
      <w:r>
        <w:t>Overall Results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Danson Twesigomwe</w:t>
            </w:r>
          </w:p>
        </w:tc>
        <w:tc>
          <w:tcPr>
            <w:tcW w:type="dxa" w:w="1440"/>
          </w:tcPr>
          <w:p>
            <w:r>
              <w:t>21.5 / 50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43%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Ingrid Katabazi</w:t>
            </w:r>
          </w:p>
        </w:tc>
        <w:tc>
          <w:tcPr>
            <w:tcW w:type="dxa" w:w="1440"/>
          </w:tcPr>
          <w:p>
            <w:r>
              <w:t>43 / 50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86%</w:t>
            </w:r>
          </w:p>
        </w:tc>
        <w:tc>
          <w:tcPr>
            <w:tcW w:type="dxa" w:w="1440"/>
          </w:tcPr>
          <w:p>
            <w:r>
              <w:t>Distinction</w:t>
            </w:r>
          </w:p>
          <w:p>
            <w:pPr/>
            <w:r>
              <w:t>Distinction</w:t>
            </w:r>
          </w:p>
          <w:p>
            <w:pPr>
              <w:pStyle w:val="Heading2"/>
            </w:pPr>
            <w:r>
              <w:t>Distinction</w:t>
            </w:r>
          </w:p>
          <w:p>
            <w:pPr/>
            <w:r>
              <w:t>Distinction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Candidate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Sec A MCQs</w:t>
                    <w:br/>
                    <w:t>(10)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Sec B Short</w:t>
                    <w:br/>
                    <w:t>Answer (20)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Sec C Problem</w:t>
                    <w:br/>
                    <w:t>Question (20)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Grade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Danson Twesigomwe</w:t>
                  </w:r>
                </w:p>
              </w:tc>
              <w:tc>
                <w:tcPr>
                  <w:tcW w:type="dxa" w:w="1440"/>
                </w:tcPr>
                <w:p>
                  <w:r>
                    <w:t>0 / 10</w:t>
                  </w:r>
                </w:p>
              </w:tc>
              <w:tc>
                <w:tcPr>
                  <w:tcW w:type="dxa" w:w="1440"/>
                </w:tcPr>
                <w:p>
                  <w:r>
                    <w:t>8.5 / 20</w:t>
                  </w:r>
                </w:p>
              </w:tc>
              <w:tc>
                <w:tcPr>
                  <w:tcW w:type="dxa" w:w="1440"/>
                </w:tcPr>
                <w:p>
                  <w:r>
                    <w:t>7 / 20</w:t>
                  </w:r>
                </w:p>
              </w:tc>
              <w:tc>
                <w:tcPr>
                  <w:tcW w:type="dxa" w:w="1440"/>
                </w:tcPr>
                <w:p>
                  <w:r>
                    <w:t>15.5 / 50</w:t>
                  </w:r>
                </w:p>
              </w:tc>
              <w:tc>
                <w:tcPr>
                  <w:tcW w:type="dxa" w:w="1440"/>
                </w:tcPr>
                <w:p>
                  <w:r>
                    <w:t>F (31%)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Ingrid Katabazi</w:t>
                  </w:r>
                </w:p>
              </w:tc>
              <w:tc>
                <w:tcPr>
                  <w:tcW w:type="dxa" w:w="1440"/>
                </w:tcPr>
                <w:p>
                  <w:r>
                    <w:t>10 / 10</w:t>
                  </w:r>
                </w:p>
              </w:tc>
              <w:tc>
                <w:tcPr>
                  <w:tcW w:type="dxa" w:w="1440"/>
                </w:tcPr>
                <w:p>
                  <w:r>
                    <w:t>17.5 / 20</w:t>
                  </w:r>
                </w:p>
              </w:tc>
              <w:tc>
                <w:tcPr>
                  <w:tcW w:type="dxa" w:w="1440"/>
                </w:tcPr>
                <w:p>
                  <w:r>
                    <w:t>15.5 / 20</w:t>
                  </w:r>
                </w:p>
              </w:tc>
              <w:tc>
                <w:tcPr>
                  <w:tcW w:type="dxa" w:w="1440"/>
                </w:tcPr>
                <w:p>
                  <w:r>
                    <w:t>43 / 50</w:t>
                  </w:r>
                </w:p>
              </w:tc>
              <w:tc>
                <w:tcPr>
                  <w:tcW w:type="dxa" w:w="1440"/>
                </w:tcPr>
                <w:p>
                  <w:r>
                    <w:t>A (86%)</w:t>
                  </w:r>
                </w:p>
                <w:p>
                  <w:pPr/>
                </w:p>
                <w:p>
                  <w:pPr>
                    <w:pStyle w:val="Heading2"/>
                  </w:pPr>
                  <w:r>
                    <w:t>Individual Assessment Records</w:t>
                  </w:r>
                </w:p>
                <w:p>
                  <w:pPr/>
                </w:p>
                <w:p>
                  <w:pPr>
                    <w:pStyle w:val="Heading3"/>
                  </w:pPr>
                  <w:r>
                    <w:t>Candidate 1: Danson Twesigomwe</w:t>
                  </w:r>
                </w:p>
                <w:p>
                  <w:pPr/>
                  <w:r>
                    <w:rPr>
                      <w:b w:val="0"/>
                    </w:rPr>
                    <w:t>Score: 15.5 / 50 (31%) – Grade F</w:t>
                  </w:r>
                </w:p>
                <w:p>
                  <w:pPr/>
                </w:p>
                <w:p>
                  <w:pPr/>
                  <w:r>
                    <w:rPr>
                      <w:b/>
                    </w:rPr>
                    <w:t>Section A – Multiple Choice (10 marks): 0/10</w:t>
                  </w:r>
                </w:p>
                <w:p>
                  <w:pPr/>
                  <w:r>
                    <w:rPr>
                      <w:b w:val="0"/>
                    </w:rPr>
                    <w:t>Q1: No answer provided. 0/2</w:t>
                  </w:r>
                </w:p>
                <w:p>
                  <w:pPr/>
                  <w:r>
                    <w:rPr>
                      <w:b w:val="0"/>
                    </w:rPr>
                    <w:t>Q2: No answer provided. 0/2</w:t>
                  </w:r>
                </w:p>
                <w:p>
                  <w:pPr/>
                  <w:r>
                    <w:rPr>
                      <w:b w:val="0"/>
                    </w:rPr>
                    <w:t>Q3: No answer provided. 0/2</w:t>
                  </w:r>
                </w:p>
                <w:p>
                  <w:pPr/>
                  <w:r>
                    <w:rPr>
                      <w:b w:val="0"/>
                    </w:rPr>
                    <w:t>Q4: No answer provided. 0/2</w:t>
                  </w:r>
                </w:p>
                <w:p>
                  <w:pPr/>
                  <w:r>
                    <w:rPr>
                      <w:b w:val="0"/>
                    </w:rPr>
                    <w:t>Q5: Answered A. Incorrect (correct answer is B: server understood request but refuses to authorise). 0/2</w:t>
                  </w:r>
                </w:p>
                <w:p>
                  <w:pPr/>
                </w:p>
                <w:p>
                  <w:pPr/>
                  <w:r>
                    <w:rPr>
                      <w:b/>
                    </w:rPr>
                    <w:t>Section B – Short Answer (20 marks): 8.5/20</w:t>
                  </w:r>
                </w:p>
                <w:p>
                  <w:pPr/>
                  <w:r>
                    <w:rPr>
                      <w:b w:val="0"/>
                    </w:rPr>
                    <w:t>Q6: 2/5 marks. Basic distinction between edge and core identified. Stated interception targets core because service providers are there. Lacks depth, no legal citations, very brief.</w:t>
                  </w:r>
                </w:p>
                <w:p>
                  <w:pPr/>
                  <w:r>
                    <w:rPr>
                      <w:b w:val="0"/>
                    </w:rPr>
                    <w:t>Q7: 2/5 marks. Brief description of local DNS server role. Mentions IP address for jurisdiction. No discussion of caching, resolution process details, or evidential limitations.</w:t>
                  </w:r>
                </w:p>
                <w:p>
                  <w:pPr/>
                  <w:r>
                    <w:rPr>
                      <w:b w:val="0"/>
                    </w:rPr>
                    <w:t>Q8: 2/5 marks. Mentioned two conditions (consent, adequacy) but did not quote Section 19 verbatim as instructed. No detail or explanation.</w:t>
                  </w:r>
                </w:p>
                <w:p>
                  <w:pPr/>
                  <w:r>
                    <w:rPr>
                      <w:b w:val="0"/>
                    </w:rPr>
                    <w:t>Q9: 2.5/5 marks. Correctly identified 60-day retention period. Characteristics listed (raw form, accessible, viewable) are not the correct regulatory terms.</w:t>
                  </w:r>
                </w:p>
                <w:p>
                  <w:pPr/>
                </w:p>
                <w:p>
                  <w:pPr/>
                  <w:r>
                    <w:rPr>
                      <w:b/>
                    </w:rPr>
                    <w:t>Section C – Problem Question (20 marks): 7/20</w:t>
                  </w:r>
                </w:p>
                <w:p>
                  <w:pPr/>
                  <w:r>
                    <w:rPr>
                      <w:b w:val="0"/>
                    </w:rPr>
                    <w:t>Q10(a): 2/6 marks. Identified application and internet layers. Evidence suggestions weak (cookies for internet layer). Lacks thorough analysis of all possible layers.</w:t>
                  </w:r>
                </w:p>
                <w:p>
                  <w:pPr/>
                  <w:r>
                    <w:rPr>
                      <w:b w:val="0"/>
                    </w:rPr>
                    <w:t>Q10(b): 0.5/4 marks. Cited Regulation 16 and 18 - incorrect regulation numbers for consumer information protection.</w:t>
                  </w:r>
                </w:p>
                <w:p>
                  <w:pPr/>
                  <w:r>
                    <w:rPr>
                      <w:b w:val="0"/>
                    </w:rPr>
                    <w:t>Q10(c): 2.5/6 marks. Correctly identified non-compliance due to lack of consent. Steps mentioned (register with DPO, inform/obtain consent) but missing adequacy assessment and compliance framework.</w:t>
                  </w:r>
                </w:p>
                <w:p>
                  <w:pPr/>
                  <w:r>
                    <w:rPr>
                      <w:b w:val="0"/>
                    </w:rPr>
                    <w:t>Q10(d): 2/4 marks. Answered "Yes" regarding RICA warrant. Noted TLS session key limitation. Brief explanation lacking depth on encryption technicalities.</w:t>
                  </w:r>
                </w:p>
                <w:p>
                  <w:pPr/>
                </w:p>
                <w:p>
                  <w:pPr>
                    <w:pStyle w:val="Heading3"/>
                  </w:pPr>
                  <w:r>
                    <w:t>Candidate 2: Ingrid Katabazi</w:t>
                  </w:r>
                </w:p>
                <w:p>
                  <w:pPr/>
                  <w:r>
                    <w:rPr>
                      <w:b w:val="0"/>
                    </w:rPr>
                    <w:t>Score: 43 / 50 (86%) – Grade A</w:t>
                  </w:r>
                </w:p>
                <w:p>
                  <w:pPr/>
                </w:p>
                <w:p>
                  <w:pPr/>
                  <w:r>
                    <w:rPr>
                      <w:b/>
                    </w:rPr>
                    <w:t>Section A – Multiple Choice (10 marks): 10/10</w:t>
                  </w:r>
                </w:p>
                <w:p>
                  <w:pPr/>
                  <w:r>
                    <w:rPr>
                      <w:b w:val="0"/>
                    </w:rPr>
                    <w:t>Q1: B – Correct. TCP/IP encapsulation order identified accurately. +2</w:t>
                  </w:r>
                </w:p>
                <w:p>
                  <w:pPr/>
                  <w:r>
                    <w:rPr>
                      <w:b w:val="0"/>
                    </w:rPr>
                    <w:t>Q2: C – Correct. Authoritative DNS server identified as final authority. +2</w:t>
                  </w:r>
                </w:p>
                <w:p>
                  <w:pPr/>
                  <w:r>
                    <w:rPr>
                      <w:b w:val="0"/>
                    </w:rPr>
                    <w:t>Q3: C – Correct. 30-day complaint resolution period under UCC Regulations. +2</w:t>
                  </w:r>
                </w:p>
                <w:p>
                  <w:pPr/>
                  <w:r>
                    <w:rPr>
                      <w:b w:val="0"/>
                    </w:rPr>
                    <w:t>Q4: C – Correct. Section 19 of DPA identified. +2</w:t>
                  </w:r>
                </w:p>
                <w:p>
                  <w:pPr/>
                  <w:r>
                    <w:rPr>
                      <w:b w:val="0"/>
                    </w:rPr>
                    <w:t>Q5: B – Correct. HTTP 403 meaning accurately stated. +2</w:t>
                  </w:r>
                </w:p>
                <w:p>
                  <w:pPr/>
                </w:p>
                <w:p>
                  <w:pPr/>
                  <w:r>
                    <w:rPr>
                      <w:b/>
                    </w:rPr>
                    <w:t>Section B – Short Answer (20 marks): 17.5/20</w:t>
                  </w:r>
                </w:p>
                <w:p>
                  <w:pPr/>
                  <w:r>
                    <w:rPr>
                      <w:b w:val="0"/>
                    </w:rPr>
                    <w:t>Q6: 4.5/5 marks. Clear distinction between network edge (user devices) and core (carries data). Correctly identifies RICA targets core and cites Sections 8 and 11. Well-reasoned.</w:t>
                  </w:r>
                </w:p>
                <w:p>
                  <w:pPr/>
                  <w:r>
                    <w:rPr>
                      <w:b w:val="0"/>
                    </w:rPr>
                    <w:t>Q7: 4.5/5 marks. Excellent explanation of DNS resolution process with phonebook analogy. Recognises evidential value and limitations (VPNs, shared connections).</w:t>
                  </w:r>
                </w:p>
                <w:p>
                  <w:pPr/>
                  <w:r>
                    <w:rPr>
                      <w:b w:val="0"/>
                    </w:rPr>
                    <w:t>Q8: 4/5 marks. Near-verbatim quote of Section 19 with both conditions clearly explained (adequate measures and consent). Minor deduction for not quoting entirely verbatim as instructed.</w:t>
                  </w:r>
                </w:p>
                <w:p>
                  <w:pPr/>
                  <w:r>
                    <w:rPr>
                      <w:b w:val="0"/>
                    </w:rPr>
                    <w:t>Q9: 4.5/5 marks. Correctly cites Regulation 7(1) and 60-day retention. Characteristics: Complete, Original, Authentic – accurate.</w:t>
                  </w:r>
                </w:p>
                <w:p>
                  <w:pPr/>
                </w:p>
                <w:p>
                  <w:pPr/>
                  <w:r>
                    <w:rPr>
                      <w:b/>
                    </w:rPr>
                    <w:t>Section C – Problem Question (20 marks): 15.5/20</w:t>
                  </w:r>
                </w:p>
                <w:p>
                  <w:pPr/>
                  <w:r>
                    <w:rPr>
                      <w:b w:val="0"/>
                    </w:rPr>
                    <w:t>Q10(a): 4/6 marks. Identified multiple TCP/IP layers (Application, Transport, Network) with evidence suggestions. Some confusion in layer naming and evidence specificity.</w:t>
                  </w:r>
                </w:p>
                <w:p>
                  <w:pPr/>
                  <w:r>
                    <w:rPr>
                      <w:b w:val="0"/>
                    </w:rPr>
                    <w:t>Q10(b): 3/4 marks. Cited Regulation 8 (Protection of Consumer Information) and Regulation 9 (Security of Consumer Information). Relevant provisions identified.</w:t>
                  </w:r>
                </w:p>
                <w:p>
                  <w:pPr/>
                  <w:r>
                    <w:rPr>
                      <w:b w:val="0"/>
                    </w:rPr>
                    <w:t>Q10(c): 5/6 marks. Thorough analysis of Section 19 compliance. Identified GDPR adequacy argument and consent gap. Comprehensive compliance steps listed.</w:t>
                  </w:r>
                </w:p>
                <w:p>
                  <w:pPr/>
                  <w:r>
                    <w:rPr>
                      <w:b w:val="0"/>
                    </w:rPr>
                    <w:t>Q10(d): 3.5/4 marks. Correctly explains that RICA warrant authorises interception but HTTPS encryption prevents reading content. Cites Section 8 of RICA. Strong understanding.</w:t>
                  </w:r>
                </w:p>
                <w:p>
                  <w:pPr/>
                </w:p>
                <w:p>
                  <w:pPr>
                    <w:pStyle w:val="Heading2"/>
                  </w:pPr>
                  <w:r>
                    <w:t>Summary &amp; Trends</w:t>
                  </w:r>
                </w:p>
                <w:p>
                  <w:pPr/>
                </w:p>
                <w:p>
                  <w:pPr/>
                  <w:r>
                    <w:rPr>
                      <w:b/>
                    </w:rPr>
                    <w:t>Strengths:</w:t>
                  </w:r>
                </w:p>
                <w:p>
                  <w:pPr/>
                  <w:r>
                    <w:rPr>
                      <w:b w:val="0"/>
                    </w:rPr>
                    <w:t>• Ingrid demonstrated strong performance across all sections, achieving 86% overall.</w:t>
                  </w:r>
                </w:p>
                <w:p>
                  <w:pPr/>
                  <w:r>
                    <w:rPr>
                      <w:b w:val="0"/>
                    </w:rPr>
                    <w:t>• Ingrid scored perfectly in Section A (MCQs) and excelled in Section B with comprehensive answers.</w:t>
                  </w:r>
                </w:p>
                <w:p>
                  <w:pPr/>
                  <w:r>
                    <w:rPr>
                      <w:b w:val="0"/>
                    </w:rPr>
                    <w:t>• Danson showed basic understanding of some concepts but lacked depth and detail throughout.</w:t>
                  </w:r>
                </w:p>
                <w:p>
                  <w:pPr/>
                </w:p>
                <w:p>
                  <w:pPr/>
                  <w:r>
                    <w:rPr>
                      <w:b/>
                    </w:rPr>
                    <w:t>Weaknesses:</w:t>
                  </w:r>
                </w:p>
                <w:p>
                  <w:pPr/>
                  <w:r>
                    <w:rPr>
                      <w:b w:val="0"/>
                    </w:rPr>
                    <w:t>• Danson failed to answer any multiple-choice questions correctly and left several questions unanswered or extremely brief.</w:t>
                  </w:r>
                </w:p>
                <w:p>
                  <w:pPr/>
                  <w:r>
                    <w:rPr>
                      <w:b w:val="0"/>
                    </w:rPr>
                    <w:t>• Danson did not quote Section 19 verbatim despite clear instruction to do so.</w:t>
                  </w:r>
                </w:p>
                <w:p>
                  <w:pPr/>
                  <w:r>
                    <w:rPr>
                      <w:b w:val="0"/>
                    </w:rPr>
                    <w:t>• Both candidates struggled with precise UCC Regulation numbering in the problem question.</w:t>
                  </w:r>
                </w:p>
                <w:p>
                  <w:pPr/>
                  <w:r>
                    <w:rPr>
                      <w:b w:val="0"/>
                    </w:rPr>
                    <w:t>• Danson’s overall performance (31%) indicates significant gaps in understanding Week 2 material.</w:t>
                  </w:r>
                </w:p>
                <w:p>
                  <w:pPr/>
                </w:p>
                <w:p>
                  <w:pPr/>
                  <w:r>
                    <w:rPr>
                      <w:b w:val="0"/>
                    </w:rPr>
                    <w:t>Assessment conducted by: [Assessor Name]</w:t>
                  </w:r>
                </w:p>
                <w:p>
                  <w:pPr/>
                  <w:r>
                    <w:rPr>
                      <w:b w:val="0"/>
                    </w:rPr>
                    <w:t>Date: [Date]</w:t>
                  </w:r>
                </w:p>
              </w:tc>
            </w:tr>
          </w:tbl>
        </w:tc>
      </w:tr>
    </w:tbl>
    <w:p>
      <w:pPr>
        <w:pStyle w:val="Heading2"/>
      </w:pPr>
      <w:r>
        <w:t xml:space="preserve">Section-by-Section Breakdown</w:t>
      </w:r>
    </w:p>
    <w:p/>
    <w:tbl>
      <w:tblPr>
        <w:tblStyle w:val="TableGrid"/>
      </w:tblPr>
      <w:tr>
        <w:tc>
          <w:tcPr>
            <w:tcW w:w="833" w:type="dxa"/>
          </w:tcPr>
          <w:p>
            <w:r>
              <w:b/>
              <w:t xml:space="preserve">Candidate</w:t>
            </w:r>
          </w:p>
        </w:tc>
        <w:tc>
          <w:tcPr>
            <w:tcW w:w="833" w:type="dxa"/>
          </w:tcPr>
          <w:p>
            <w:r>
              <w:b/>
              <w:t xml:space="preserve">Sec A MCQs
(10)</w:t>
            </w:r>
          </w:p>
        </w:tc>
        <w:tc>
          <w:tcPr>
            <w:tcW w:w="833" w:type="dxa"/>
          </w:tcPr>
          <w:p>
            <w:r>
              <w:b/>
              <w:t xml:space="preserve">Sec B Short
Answer (20)</w:t>
            </w:r>
          </w:p>
        </w:tc>
        <w:tc>
          <w:tcPr>
            <w:tcW w:w="833" w:type="dxa"/>
          </w:tcPr>
          <w:p>
            <w:r>
              <w:b/>
              <w:t xml:space="preserve">Sec C Problem
Question (20)</w:t>
            </w:r>
          </w:p>
        </w:tc>
        <w:tc>
          <w:tcPr>
            <w:tcW w:w="833" w:type="dxa"/>
          </w:tcPr>
          <w:p>
            <w:r>
              <w:b/>
              <w:t xml:space="preserve">Total</w:t>
            </w:r>
          </w:p>
        </w:tc>
        <w:tc>
          <w:tcPr>
            <w:tcW w:w="833" w:type="dxa"/>
          </w:tcPr>
          <w:p>
            <w:r>
              <w:b/>
              <w:t xml:space="preserve">Grade</w:t>
            </w:r>
          </w:p>
        </w:tc>
      </w:tr>
      <w:tr>
        <w:tc>
          <w:tcPr>
            <w:tcW w:w="833" w:type="dxa"/>
          </w:tcPr>
          <w:p>
            <w:r>
              <w:t xml:space="preserve">Danson Twesigomwe</w:t>
            </w:r>
          </w:p>
        </w:tc>
        <w:tc>
          <w:tcPr>
            <w:tcW w:w="833" w:type="dxa"/>
          </w:tcPr>
          <w:p>
            <w:r>
              <w:t xml:space="preserve">6 / 10</w:t>
            </w:r>
          </w:p>
        </w:tc>
        <w:tc>
          <w:tcPr>
            <w:tcW w:w="833" w:type="dxa"/>
          </w:tcPr>
          <w:p>
            <w:r>
              <w:t xml:space="preserve">8.5 / 20</w:t>
            </w:r>
          </w:p>
        </w:tc>
        <w:tc>
          <w:tcPr>
            <w:tcW w:w="833" w:type="dxa"/>
          </w:tcPr>
          <w:p>
            <w:r>
              <w:t xml:space="preserve">7 / 20</w:t>
            </w:r>
          </w:p>
        </w:tc>
        <w:tc>
          <w:tcPr>
            <w:tcW w:w="833" w:type="dxa"/>
          </w:tcPr>
          <w:p>
            <w:r>
              <w:t xml:space="preserve">21.5 / 50</w:t>
            </w:r>
          </w:p>
        </w:tc>
        <w:tc>
          <w:tcPr>
            <w:tcW w:w="833" w:type="dxa"/>
          </w:tcPr>
          <w:p>
            <w:r>
              <w:t xml:space="preserve">F (43%)</w:t>
            </w:r>
          </w:p>
        </w:tc>
      </w:tr>
      <w:tr>
        <w:tc>
          <w:tcPr>
            <w:tcW w:w="833" w:type="dxa"/>
          </w:tcPr>
          <w:p>
            <w:r>
              <w:t xml:space="preserve">Ingrid Katabazi</w:t>
            </w:r>
          </w:p>
        </w:tc>
        <w:tc>
          <w:tcPr>
            <w:tcW w:w="833" w:type="dxa"/>
          </w:tcPr>
          <w:p>
            <w:r>
              <w:t xml:space="preserve">10 / 10</w:t>
            </w:r>
          </w:p>
        </w:tc>
        <w:tc>
          <w:tcPr>
            <w:tcW w:w="833" w:type="dxa"/>
          </w:tcPr>
          <w:p>
            <w:r>
              <w:t xml:space="preserve">17.5 / 20</w:t>
            </w:r>
          </w:p>
        </w:tc>
        <w:tc>
          <w:tcPr>
            <w:tcW w:w="833" w:type="dxa"/>
          </w:tcPr>
          <w:p>
            <w:r>
              <w:t xml:space="preserve">15.5 / 20</w:t>
            </w:r>
          </w:p>
        </w:tc>
        <w:tc>
          <w:tcPr>
            <w:tcW w:w="833" w:type="dxa"/>
          </w:tcPr>
          <w:p>
            <w:r>
              <w:t xml:space="preserve">43 / 50</w:t>
            </w:r>
          </w:p>
        </w:tc>
        <w:tc>
          <w:tcPr>
            <w:tcW w:w="833" w:type="dxa"/>
          </w:tcPr>
          <w:p>
            <w:r>
              <w:t xml:space="preserve">A (86%)</w:t>
            </w:r>
          </w:p>
        </w:tc>
      </w:tr>
    </w:tbl>
    <w:p/>
    <w:p>
      <w:pPr>
        <w:pStyle w:val="Heading2"/>
      </w:pPr>
      <w:r>
        <w:t xml:space="preserve">Individual Assessment Records</w:t>
      </w:r>
    </w:p>
    <w:p/>
    <w:p>
      <w:pPr>
        <w:pStyle w:val="Heading3"/>
      </w:pPr>
      <w:r>
        <w:t xml:space="preserve">Candidate 1: Danson Twesigomwe</w:t>
      </w:r>
    </w:p>
    <w:p>
      <w:r>
        <w:t xml:space="preserve">Score: 21.5 / 50 (43%) – Grade F</w:t>
      </w:r>
    </w:p>
    <w:p/>
    <w:p>
      <w:r>
        <w:b/>
        <w:t xml:space="preserve">Section A – Multiple Choice (10 marks): 6/10</w:t>
      </w:r>
    </w:p>
    <w:p>
      <w:r>
        <w:t xml:space="preserve">Q1: Answered B – Correct. TCP/IP encapsulation order identified accurately. +2</w:t>
      </w:r>
    </w:p>
    <w:p>
      <w:r>
        <w:t xml:space="preserve">Q2: Answered C – Correct. Authoritative DNS server identified as final authority. +2</w:t>
      </w:r>
    </w:p>
    <w:p>
      <w:r>
        <w:t xml:space="preserve">Q3: No answer provided. 0/2</w:t>
      </w:r>
    </w:p>
    <w:p>
      <w:r>
        <w:t xml:space="preserve">Q4: Answered C – Correct. Section 19 of DPA identified. +2</w:t>
      </w:r>
    </w:p>
    <w:p>
      <w:r>
        <w:t xml:space="preserve">Q5: Answered A – Incorrect (correct is B: server understood request but refuses to authorise). 0/2</w:t>
      </w:r>
    </w:p>
    <w:p/>
    <w:p>
      <w:r>
        <w:b/>
        <w:t xml:space="preserve">Section B – Short Answer (20 marks): 8.5/20</w:t>
      </w:r>
    </w:p>
    <w:p>
      <w:r>
        <w:t xml:space="preserve">Q6: 2/5 marks. Basic distinction between edge and core identified. Stated interception targets core because service providers are there. Lacks depth, no legal citations, very brief.</w:t>
      </w:r>
    </w:p>
    <w:p>
      <w:r>
        <w:t xml:space="preserve">Q7: 2/5 marks. Brief description of local DNS server role. Mentions IP address for jurisdiction. No discussion of caching, resolution process details, or evidential limitations.</w:t>
      </w:r>
    </w:p>
    <w:p>
      <w:r>
        <w:t xml:space="preserve">Q8: 2/5 marks. Mentioned two conditions (consent, adequacy) but did not quote Section 19 verbatim as instructed. No detail or explanation.</w:t>
      </w:r>
    </w:p>
    <w:p>
      <w:r>
        <w:t xml:space="preserve">Q9: 2.5/5 marks. Correctly identified 60-day retention period. Characteristics listed (raw form, accessible, viewable) are not the correct regulatory terms.</w:t>
      </w:r>
    </w:p>
    <w:p/>
    <w:p>
      <w:r>
        <w:b/>
        <w:t xml:space="preserve">Section C – Problem Question (20 marks): 7/20</w:t>
      </w:r>
    </w:p>
    <w:p>
      <w:r>
        <w:t xml:space="preserve">Q10(a): 2/6 marks. Identified application and internet layers. Evidence suggestions weak (cookies for internet layer). Lacks thorough analysis of all possible layers.</w:t>
      </w:r>
    </w:p>
    <w:p>
      <w:r>
        <w:t xml:space="preserve">Q10(b): 0.5/4 marks. Cited Regulation 16 and 18 - incorrect regulation numbers for consumer information protection.</w:t>
      </w:r>
    </w:p>
    <w:p>
      <w:r>
        <w:t xml:space="preserve">Q10(c): 2.5/6 marks. Correctly identified non-compliance due to lack of consent. Steps mentioned (register with DPO, inform/obtain consent) but missing adequacy assessment and compliance framework.</w:t>
      </w:r>
    </w:p>
    <w:p>
      <w:r>
        <w:t xml:space="preserve">Q10(d): 2/4 marks. Answered "Yes" regarding RICA warrant. Noted TLS session key limitation. Brief explanation lacking depth on encryption technicalities.</w:t>
      </w:r>
    </w:p>
    <w:p/>
    <w:p>
      <w:pPr>
        <w:pStyle w:val="Heading3"/>
      </w:pPr>
      <w:r>
        <w:t xml:space="preserve">Candidate 2: Ingrid Katabazi</w:t>
      </w:r>
    </w:p>
    <w:p>
      <w:r>
        <w:t xml:space="preserve">Score: 43 / 50 (86%) – Grade A</w:t>
      </w:r>
    </w:p>
    <w:p/>
    <w:p>
      <w:r>
        <w:b/>
        <w:t xml:space="preserve">Section A – Multiple Choice (10 marks): 10/10</w:t>
      </w:r>
    </w:p>
    <w:p>
      <w:r>
        <w:t xml:space="preserve">Q1: B – Correct. TCP/IP encapsulation order identified accurately. +2</w:t>
      </w:r>
    </w:p>
    <w:p>
      <w:r>
        <w:t xml:space="preserve">Q2: C – Correct. Authoritative DNS server identified as final authority. +2</w:t>
      </w:r>
    </w:p>
    <w:p>
      <w:r>
        <w:t xml:space="preserve">Q3: C – Correct. 30-day complaint resolution period under UCC Regulations. +2</w:t>
      </w:r>
    </w:p>
    <w:p>
      <w:r>
        <w:t xml:space="preserve">Q4: C – Correct. Section 19 of DPA identified. +2</w:t>
      </w:r>
    </w:p>
    <w:p>
      <w:r>
        <w:t xml:space="preserve">Q5: B – Correct. HTTP 403 meaning accurately stated. +2</w:t>
      </w:r>
    </w:p>
    <w:p/>
    <w:p>
      <w:r>
        <w:b/>
        <w:t xml:space="preserve">Section B – Short Answer (20 marks): 17.5/20</w:t>
      </w:r>
    </w:p>
    <w:p>
      <w:r>
        <w:t xml:space="preserve">Q6: 4.5/5 marks. Clear distinction between network edge (user devices) and core (carries data). Correctly identifies RICA targets core and cites Sections 8 and 11. Well-reasoned.</w:t>
      </w:r>
    </w:p>
    <w:p>
      <w:r>
        <w:t xml:space="preserve">Q7: 4.5/5 marks. Excellent explanation of DNS resolution process with phonebook analogy. Recognises evidential value and limitations (VPNs, shared connections).</w:t>
      </w:r>
    </w:p>
    <w:p>
      <w:r>
        <w:t xml:space="preserve">Q8: 4/5 marks. Near-verbatim quote of Section 19 with both conditions clearly explained. Minor deduction for not quoting entirely verbatim as instructed.</w:t>
      </w:r>
    </w:p>
    <w:p>
      <w:r>
        <w:t xml:space="preserve">Q9: 4.5/5 marks. Correctly cites Regulation 7(1) and 60-day retention. Characteristics: Complete, Original, Authentic - accurate.</w:t>
      </w:r>
    </w:p>
    <w:p/>
    <w:p>
      <w:r>
        <w:b/>
        <w:t xml:space="preserve">Section C – Problem Question (20 marks): 15.5/20</w:t>
      </w:r>
    </w:p>
    <w:p>
      <w:r>
        <w:t xml:space="preserve">Q10(a): 4/6 marks. Identified multiple TCP/IP layers with evidence suggestions. Some confusion in layer naming and evidence specificity.</w:t>
      </w:r>
    </w:p>
    <w:p>
      <w:r>
        <w:t xml:space="preserve">Q10(b): 3/4 marks. Cited Regulation 8 and 9 for consumer information protection. Relevant provisions identified.</w:t>
      </w:r>
    </w:p>
    <w:p>
      <w:r>
        <w:t xml:space="preserve">Q10(c): 5/6 marks. Thorough DPA analysis. GDPR adequacy argument well made. Comprehensive compliance steps listed.</w:t>
      </w:r>
    </w:p>
    <w:p>
      <w:r>
        <w:t xml:space="preserve">Q10(d): 3.5/4 marks. Correctly explains HTTPS encryption limitation. Cites Section 8 of RICA. Strong understanding.</w:t>
      </w:r>
    </w:p>
    <w:p/>
    <w:p>
      <w:pPr>
        <w:pStyle w:val="Heading2"/>
      </w:pPr>
      <w:r>
        <w:t xml:space="preserve">Summary &amp; Trends</w:t>
      </w:r>
    </w:p>
    <w:p/>
    <w:p>
      <w:r>
        <w:b/>
        <w:t xml:space="preserve">Strengths:</w:t>
      </w:r>
    </w:p>
    <w:p>
      <w:r>
        <w:t xml:space="preserve">• Ingrid demonstrated strong performance across all sections, achieving 86% overall.</w:t>
      </w:r>
    </w:p>
    <w:p>
      <w:r>
        <w:t xml:space="preserve">• Ingrid scored perfectly in Section A (MCQs) and excelled in Section B with comprehensive answers.</w:t>
      </w:r>
    </w:p>
    <w:p>
      <w:r>
        <w:t xml:space="preserve">• Danson showed basic understanding of some concepts but lacked depth and detail throughout.</w:t>
      </w:r>
    </w:p>
    <w:p/>
    <w:p>
      <w:r>
        <w:b/>
        <w:t xml:space="preserve">Weaknesses:</w:t>
      </w:r>
    </w:p>
    <w:p>
      <w:r>
        <w:t xml:space="preserve">• Danson failed to answer Q3 and Q5 of the multiple-choice section.</w:t>
      </w:r>
    </w:p>
    <w:p>
      <w:r>
        <w:t xml:space="preserve">• Danson did not quote Section 19 verbatim despite clear instruction to do so.</w:t>
      </w:r>
    </w:p>
    <w:p>
      <w:r>
        <w:t xml:space="preserve">• Both candidates struggled with precise UCC Regulation numbering in the problem question.</w:t>
      </w:r>
    </w:p>
    <w:p>
      <w:r>
        <w:t xml:space="preserve">• Danson’s overall performance (43%) indicates significant gaps in understanding Week 2 material.</w:t>
      </w:r>
    </w:p>
    <w:p/>
    <w:p>
      <w:r>
        <w:t xml:space="preserve">Assessment conducted by: [Assessor Name]</w:t>
      </w:r>
    </w:p>
    <w:p>
      <w:r>
        <w:t xml:space="preserve">Date: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