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Beyond the Printout</w:t>
      </w:r>
    </w:p>
    <w:p>
      <w:pPr>
        <w:jc w:val="center"/>
      </w:pPr>
      <w:r>
        <w:rPr>
          <w:i/>
          <w:sz w:val="26"/>
        </w:rPr>
        <w:t>The Database Architecture Gap in Ugandan Evidence Law</w:t>
      </w:r>
    </w:p>
    <w:p/>
    <w:p>
      <w:r>
        <w:rPr>
          <w:sz w:val="24"/>
        </w:rPr>
        <w:t>There is a ritual being performed in Ugandan courtrooms right now, and it is built on an assumption that quietly stopped being true.</w:t>
      </w:r>
    </w:p>
    <w:p/>
    <w:p>
      <w:r>
        <w:rPr>
          <w:sz w:val="24"/>
        </w:rPr>
        <w:t>A clerk walks into the witness box. Counsel asks: was the computer working? Yes. The document is marked, admitted, and everyone moves on. It takes maybe four minutes. Judges love it. Lawyers love it. Everyone goes home on time. Nobody asks the hard questions, because nobody has been taught what the hard questions are.</w:t>
      </w:r>
    </w:p>
    <w:p/>
    <w:p>
      <w:r>
        <w:rPr>
          <w:sz w:val="24"/>
        </w:rPr>
        <w:t>The problem is that this routine assumes a hardware check guarantees the reliability of whatever data the machine produced. That assumption stopped being true the moment businesses moved their data off single desktop computers and into distributed databases. The law has not caught up. Most lawyers have not noticed.</w:t>
      </w:r>
    </w:p>
    <w:p/>
    <w:p>
      <w:r>
        <w:rPr>
          <w:sz w:val="24"/>
        </w:rPr>
        <w:t>This critique is not really about printouts. A printout is just the most common way database evidence arrives in court. But the same gap affects CSV exports, USB stick extracts, API query results, JSON dumps, and even a live SQL query run on a laptop in the witness box. The format does not matter. What matters is that the law treats the entire data pipeline as a single opaque computer system and asks only whether the hardware at the end of it worked.</w:t>
      </w:r>
    </w:p>
    <w:p/>
    <w:p>
      <w:r>
        <w:rPr>
          <w:sz w:val="24"/>
        </w:rPr>
        <w:t>The Electronic Transactions Act was written in 2008 for a world where one computer sat in one room and stored one set of records. Section 8(5)(a) gives you a presumption: prove the computer was operating properly, and the records system is presumed authentic. If the machine works, the data is reliable. That logic maps beautifully onto a single server running a traditional relational database with ACID guarantees. You check the machine, it is fine, the record is fine. Done.</w:t>
      </w:r>
    </w:p>
    <w:p/>
    <w:p>
      <w:r>
        <w:rPr>
          <w:sz w:val="24"/>
        </w:rPr>
        <w:t>But data no longer lives on one machine. An MTN call detail record passes through multiple mobile switching centres before it is logged. A bank balance stored on a distributed database can look different depending on which data centre processed your query. A government database hosted on a cloud platform might replicate across three continents in seconds. The relevant question is no longer whether the computer powered on. It is whether the data returned is the data you think it is at the time you needed it.</w:t>
      </w:r>
    </w:p>
    <w:p/>
    <w:p>
      <w:r>
        <w:rPr>
          <w:sz w:val="24"/>
        </w:rPr>
        <w:t>There are two problems that undermine the reliability of database evidence, and understanding both is the key to seeing why the current practice is fragile.</w:t>
      </w:r>
    </w:p>
    <w:p/>
    <w:p>
      <w:r>
        <w:rPr>
          <w:sz w:val="24"/>
        </w:rPr>
        <w:t>The first is architectural blindness. The statute has no framework for examining how data is stored, synchronised, or retrieved across a distributed system. Section 8(5)(a) asks whether the computer was operating properly. It does not ask whether the database uses ACID or BASE consistency. It does not ask whether the query hit a primary node or a read replica. It does not ask what replication lag existed at the moment of extraction. It treats the entire system as a black box and checks only whether the box powered on. In a traditional ACID database, where every read returns the latest committed write, that might be defensible. In a BASE database, where the system favours availability over immediate consistency, it is meaningless.</w:t>
      </w:r>
    </w:p>
    <w:p/>
    <w:p>
      <w:r>
        <w:rPr>
          <w:sz w:val="24"/>
        </w:rPr>
        <w:t>The second problem is the extraction deficit. Every time data is pulled from a database and presented in a different format, whether printed on paper, exported to CSV, or displayed on a screen, something is lost and something may be distorted. Metadata vanishes. Cryptographic hashes, audit trails, execution logs, timestamps, all of it is stripped during the export. The query itself may contain flawed logic or selective filtering that presents a skewed picture. A database does not store paper. It stores structured data. The act of transforming that structure into a human-readable output is not neutral. It is a translation, and every translation introduces the possibility of error.</w:t>
      </w:r>
    </w:p>
    <w:p/>
    <w:p>
      <w:r>
        <w:rPr>
          <w:sz w:val="24"/>
        </w:rPr>
        <w:t>The ETA addresses neither problem independently. It collapses the entire chain, from database architecture to export format, into one presumption about hardware function.</w:t>
      </w:r>
    </w:p>
    <w:p/>
    <w:p>
      <w:r>
        <w:rPr>
          <w:sz w:val="24"/>
        </w:rPr>
        <w:t>Ugandan courts are not alone here. Other jurisdictions have confronted the same problem, and their experiences should shape how we approach this gap.</w:t>
      </w:r>
    </w:p>
    <w:p/>
    <w:p>
      <w:r>
        <w:rPr>
          <w:sz w:val="24"/>
        </w:rPr>
        <w:t>The United Kingdom learned the hard way. In the Post Office Horizon scandal, hundreds of subpostmasters were convicted of theft and false accounting based on data pulled from Fujitsu accounting software. The courts applied the common law presumption that computer systems operate correctly. That presumption, reasonable on its face, became a procedural trap. Subpostmasters could not challenge the data because the law assumed the printouts were correct and required the accused to prove otherwise. They could not. They went to prison. The Court of Appeal quashed dozens of convictions years later. A public inquiry is still ongoing. That is what happens when courts trust database output without understanding the system behind it.</w:t>
      </w:r>
    </w:p>
    <w:p/>
    <w:p>
      <w:r>
        <w:rPr>
          <w:sz w:val="24"/>
        </w:rPr>
        <w:t>Canada sidestepped the architecture question entirely. Section 31.2 of the Canada Evidence Act says that if a business has consistently acted on a record or relied on it in daily operations, that reliance is itself sufficient proof of integrity. No need to analyse nodes, replicas, or consistency models. The businesss own trust in the output fills the gap.</w:t>
      </w:r>
    </w:p>
    <w:p/>
    <w:p>
      <w:r>
        <w:rPr>
          <w:sz w:val="24"/>
        </w:rPr>
        <w:t>India went the opposite direction and imposed the strictest regime in the Commonwealth. The Bharatiya Sakshya Adhiniyam 2023 requires a signed certificate for any electronic record tendered as secondary evidence. The certificate must include a cryptographic hash value that verifies the record has not been altered since extraction. No certificate, no admissibility. The hash creates a chain of custody verifiable independent of whoever testifies about the computer.</w:t>
      </w:r>
    </w:p>
    <w:p/>
    <w:p>
      <w:r>
        <w:rPr>
          <w:sz w:val="24"/>
        </w:rPr>
        <w:t>Uganda has not chosen either path. It has a statutory gap and a common law framework capable of filling it, if lawyers use the tools correctly.</w:t>
      </w:r>
    </w:p>
    <w:p/>
    <w:p>
      <w:r>
        <w:rPr>
          <w:sz w:val="24"/>
        </w:rPr>
        <w:t>The most powerful tool is the ten-step test from Amongin Jane Frances Akili v Lucy Akello (2015). Step 5 requires proof of the reliability of the computer programs used to process the data. Step 6 requires proof of the measures taken to verify the accuracy of the program. Step 10 requires that an independent third party should be able to examine the process and achieve the same results. These steps, properly applied, let counsel probe every question the statute does not ask: what database architecture, what consistency model, primary or replica node, what replication lag existed, and would a third party repeating the query get the same answer.</w:t>
      </w:r>
    </w:p>
    <w:p/>
    <w:p>
      <w:r>
        <w:rPr>
          <w:sz w:val="24"/>
        </w:rPr>
        <w:t>There are five things every Ugandan litigator should do starting tomorrow.</w:t>
      </w:r>
    </w:p>
    <w:p/>
    <w:p>
      <w:r>
        <w:rPr>
          <w:sz w:val="24"/>
        </w:rPr>
        <w:t>First, stop fighting admissibility under Section 8(5)(a). You will lose. The presumption is too easy to discharge. Courts accept basic proof of hardware operation because that is all the section asks for. Instead, accept admission under Section 8(3) and redirect your attack to probative weight under Section 8(4). The architecture questions live at weight, not admissibility. This is the single most important strategic shift you can make.</w:t>
      </w:r>
    </w:p>
    <w:p/>
    <w:p>
      <w:r>
        <w:rPr>
          <w:sz w:val="24"/>
        </w:rPr>
        <w:t>Second, use pre-trial discovery aggressively. Order 10 of the Civil Procedure Rules allows you to demand database schemas, system architecture logs, and raw export files before trial. Do not walk into court guessing whether the other sides database uses ACID or BASE consistency. Demand the information during discovery while you still have time to prepare. Discovery is your chance to build the record.</w:t>
      </w:r>
    </w:p>
    <w:p/>
    <w:p>
      <w:r>
        <w:rPr>
          <w:sz w:val="24"/>
        </w:rPr>
        <w:t>Third, call qualified experts who understand systems, not just clerks who were present. A records clerk cannot explain replication lag, node synchronisation, or query logic. Under Section 43 of the Evidence Act, call a systems engineer who can audit the extraction logs and testify about whether the database output accurately represents the state of the data at the relevant time. A note on citations: it is Section 43, not Section 45. Section 45 is about handwriting opinions. The other side will check, so get it right.</w:t>
      </w:r>
    </w:p>
    <w:p/>
    <w:p>
      <w:r>
        <w:rPr>
          <w:sz w:val="24"/>
        </w:rPr>
        <w:t>Fourth, use comparative law as persuasive authority. Cite Canada to show that other jurisdictions require more than a bare hardware check. Cite India to show the global trend toward cryptographic verification of electronic evidence. Cite the Post Office Horizon scandal to show the real-world consequences of getting this wrong. None of these bind a Ugandan judge, but they demonstrate that the gap you are arguing about is recognised and addressed elsewhere.</w:t>
      </w:r>
    </w:p>
    <w:p/>
    <w:p>
      <w:r>
        <w:rPr>
          <w:sz w:val="24"/>
        </w:rPr>
        <w:t>Fifth, make the gap argument explicit in your submissions. The ETA is silent on distributed database architecture not because it made a deliberate policy choice, but because it predates the technology. That is a gap, not a drafting error. And gaps in statutes are filled by common law development through cases like Amongin. Every cross-examination that probes database architecture is not just winning your case. It is developing the law for everyone who comes after you.</w:t>
      </w:r>
    </w:p>
    <w:p/>
    <w:p>
      <w:r>
        <w:rPr>
          <w:sz w:val="24"/>
        </w:rPr>
        <w:t>The ETA did not get it wrong. It simply could not have anticipated a world where the answer to the question what is the database state right now is it depends on which node you ask.</w:t>
      </w:r>
    </w:p>
    <w:p/>
    <w:p>
      <w:r>
        <w:rPr>
          <w:sz w:val="24"/>
        </w:rPr>
        <w:t>Database evidence in any format is a static representation of a dynamic state, taken through a query the operator chose, showing only what the retrieval logic decided to capture. Treating it as anything more is an illusion held in place by habit.</w:t>
      </w:r>
    </w:p>
    <w:p/>
    <w:p>
      <w:r>
        <w:rPr>
          <w:sz w:val="24"/>
        </w:rPr>
        <w:t>The habit is breaking. Make sure you are on the right side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