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LinkedIn Post</w:t>
      </w:r>
    </w:p>
    <w:p>
      <w:r>
        <w:t>Kibirige's phone is about to be orphaned.</w:t>
      </w:r>
    </w:p>
    <w:p/>
    <w:p>
      <w:r>
        <w:t>Not by any EU regulator. Not by any European law.</w:t>
      </w:r>
    </w:p>
    <w:p/>
    <w:p>
      <w:r>
        <w:t>But by a regulation — the EU Cyber Resilience Act — that was never written for him.</w:t>
      </w:r>
    </w:p>
    <w:p/>
    <w:p>
      <w:r>
        <w:t>Here's how it works: The CRA requires 'security by design' for any product with digital elements sold in Europe. Global open-source libraries, cloud SDKs, and app stores adjust their baselines to comply. A Ugandan startup like SafeBoda — which depends on those same libraries — inherits the new, higher baseline whether or not it ever sells a single product in Europe.</w:t>
      </w:r>
    </w:p>
    <w:p/>
    <w:p>
      <w:r>
        <w:t>The cost of supporting older, cheaper devices rises. The startup faces a choice: keep paying engineers to support those devices, or quietly raise the minimum requirement. Either way, the user loses.</w:t>
      </w:r>
    </w:p>
    <w:p/>
    <w:p>
      <w:r>
        <w:t>This is the Brussels Effect through the technology stack — and East African law has no framework to see it coming.</w:t>
      </w:r>
    </w:p>
    <w:p/>
    <w:p>
      <w:r>
        <w:t>Our ICT statutes (Uganda's CMA 2011, Tanzania's Cybercrimes Act 2015, Rwanda's Law 60/2018, Kenya's CMCA 2018) all define 'computer' as a monolith. None distinguish hardware from firmware from OS from application. None allocate responsibility across the supply chain the way the CRA does.</w:t>
      </w:r>
    </w:p>
    <w:p/>
    <w:p>
      <w:r>
        <w:t>Meanwhile, three separate Ugandan agencies — UNBS, UCC, NITA-U — regulate the exact same device in isolation, none tracking the software supply chain that will determine whether that device still works in two years.</w:t>
      </w:r>
    </w:p>
    <w:p/>
    <w:p>
      <w:r>
        <w:t>The policy response is clear:</w:t>
      </w:r>
    </w:p>
    <w:p>
      <w:r>
        <w:t>1) Amend our statutes to recognize technology as a layered system</w:t>
      </w:r>
    </w:p>
    <w:p>
      <w:r>
        <w:t>2) Build a regional early-warning function for regulatory shifts</w:t>
      </w:r>
    </w:p>
    <w:p>
      <w:r>
        <w:t>3) Invest in local hardware manufacturing</w:t>
      </w:r>
    </w:p>
    <w:p>
      <w:r>
        <w:t>4) Fund shared compliance infrastructure for startups</w:t>
      </w:r>
    </w:p>
    <w:p/>
    <w:p>
      <w:r>
        <w:t>The CRA is not a threat. It is a mirror. It shows us that a law which treats 'the computer' as a single indivisible object cannot protect a market built in layers.</w:t>
      </w:r>
    </w:p>
    <w:p/>
    <w:p>
      <w:r>
        <w:t>Who in Kampala is watching what happens when the layers above us move?</w:t>
      </w:r>
    </w:p>
    <w:p/>
    <w:p>
      <w:r>
        <w:t>#CyberResilienceAct #DigitalSovereignty #EastAfrica #TechRegulation #Uganda #ICT4D #CRA #BrusselsEffect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