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Brussels Effect Through the Stack</w:t>
      </w:r>
    </w:p>
    <w:p>
      <w:r>
        <w:rPr>
          <w:i/>
          <w:sz w:val="28"/>
        </w:rPr>
        <w:t>EU Cyber Resilience Act and the Obsolescence Trap for East Africa's Digital Economy</w:t>
      </w:r>
    </w:p>
    <w:p>
      <w:pPr>
        <w:pStyle w:val="Heading2"/>
      </w:pPr>
      <w:r>
        <w:t>Abstract</w:t>
      </w:r>
    </w:p>
    <w:p>
      <w:r>
        <w:t>The European Union's Cyber Resilience Act (Regulation 2024/2847) establishes the first horizontal cybersecurity framework for products with digital elements, imposing mandatory security-by-design obligations, lifecycle vulnerability management, and Software Bill of Materials (SBOM) requirements on manufacturers selling into the EU market. While the CRA's territorial scope is limited to the EU, its regulatory gravity exerts a "Brussels Effect" on global software supply chains — including those serving East African markets. This paper examines the CRA's tertiary impact on East Africa, arguing that the region's monolithic ICT legal frameworks — which define "computer" as an indivisible object — are structurally incapable of anticipating or mitigating the device-exclusion effects generated by upstream regulatory shifts. Through comparative statutory analysis of Uganda, Kenya, Tanzania, and Rwanda, combined with an institutional mapping of Uganda's tri-agency regulatory architecture, the paper identifies an "Obsolescence Trap" in which imported refurbished hardware is rendered non-functional by software compliance baselines set without African input. It proposes a four-pillar policy response: layered statutory definitions, a regional early-warning mechanism, hardware sovereignty investment, and shared compliance infrastructure.</w:t>
      </w:r>
    </w:p>
    <w:p>
      <w:pPr>
        <w:pStyle w:val="Heading2"/>
      </w:pPr>
      <w:r>
        <w:t>1. Introduction</w:t>
      </w:r>
    </w:p>
    <w:p>
      <w:r>
        <w:t>On 10 December 2024, Regulation (EU) 2024/2847 — the Cyber Resilience Act — entered into force in the European Union. It represents the first horizontal regulatory framework for the cybersecurity of hardware and software products, covering the entire lifecycle from design to end-of-life (European Commission, 2024). With full applicability from 11 December 2027, and reporting obligations commencing 11 September 2026, the CRA imposes legally binding requirements on manufacturers, importers, and distributors of "products with digital elements."</w:t>
      </w:r>
    </w:p>
    <w:p>
      <w:r>
        <w:t>The CRA's stated objectives are to reduce systemic vulnerabilities in connected products, improve transparency in software supply chains, ensure lifecycle vulnerability management, and shift accountability to manufacturers (EU Cyber Resilience Act, 2024, Article 1). To achieve these ends, it mandates secure development practices, third-party component due diligence, incident reporting within 24 hours for actively exploited vulnerabilities, and the maintenance of a Software Bill of Materials (SBOM) for all products placed on the EU market (OpsWat, 2026; Endor Labs, 2026).</w:t>
      </w:r>
    </w:p>
    <w:p>
      <w:r>
        <w:t>This paper does not assess the CRA on its own terms. Instead, it examines the CRA's tertiary effects on jurisdictions that are neither subject to its provisions nor represented in its drafting — specifically, the East African Community (EAC) Partner States of Uganda, Kenya, Tanzania, and Rwanda. The central argument is that the CRA, through its influence on global software supply chains, generates an "Obsolescence Trap" for East African digital economies: imported refurbished devices, which form the backbone of digital inclusion strategies, are progressively excluded from software support as upstream baselines rise, while domestic legal frameworks lack the layered architecture needed to anticipate, measure, or counteract these exclusion effects.</w:t>
      </w:r>
    </w:p>
    <w:p>
      <w:pPr>
        <w:pStyle w:val="Heading2"/>
      </w:pPr>
      <w:r>
        <w:t>2. Technical Architecture of the CRA and Its Extraterritorial Mechanism</w:t>
      </w:r>
    </w:p>
    <w:p>
      <w:pPr>
        <w:pStyle w:val="Heading3"/>
      </w:pPr>
      <w:r>
        <w:t>2.1 Core Obligations</w:t>
      </w:r>
    </w:p>
    <w:p>
      <w:r>
        <w:t>The CRA applies to any "product with digital elements" (PDE) placed on the EU market, including both final products and components sold separately. Key obligations include:</w:t>
      </w:r>
    </w:p>
    <w:p>
      <w:pPr>
        <w:pStyle w:val="ListBullet"/>
      </w:pPr>
      <w:r>
        <w:t>Security-by-design and default requirements across the product lifecycle (Annex I, Part 1)</w:t>
      </w:r>
    </w:p>
    <w:p>
      <w:pPr>
        <w:pStyle w:val="ListBullet"/>
      </w:pPr>
      <w:r>
        <w:t>Vulnerability handling, including coordinated disclosure and patch management (Article 11)</w:t>
      </w:r>
    </w:p>
    <w:p>
      <w:pPr>
        <w:pStyle w:val="ListBullet"/>
      </w:pPr>
      <w:r>
        <w:t>Mandatory reporting of actively exploited vulnerabilities within 24 hours to ENISA (Article 14)</w:t>
      </w:r>
    </w:p>
    <w:p>
      <w:pPr>
        <w:pStyle w:val="ListBullet"/>
      </w:pPr>
      <w:r>
        <w:t>Maintenance of an SBOM documenting all software components, dependencies, and supply chain relationships (Article 3(37))</w:t>
      </w:r>
    </w:p>
    <w:p>
      <w:pPr>
        <w:pStyle w:val="ListBullet"/>
      </w:pPr>
      <w:r>
        <w:t>Conformity assessment and CE marking for critical products (Articles 28–32)</w:t>
      </w:r>
    </w:p>
    <w:p>
      <w:pPr>
        <w:pStyle w:val="ListBullet"/>
      </w:pPr>
      <w:r>
        <w:t>Post-market surveillance obligations for the support period (Article 13)</w:t>
      </w:r>
    </w:p>
    <w:p>
      <w:r>
        <w:t>Non-compliance carries penalties of up to the greater of EUR 15 million or 2.5% of global annual turnover (Article 57), creating a strong compliance incentive for manufacturers worldwide (Finite State, 2026).</w:t>
      </w:r>
    </w:p>
    <w:p>
      <w:pPr>
        <w:pStyle w:val="Heading3"/>
      </w:pPr>
      <w:r>
        <w:t>2.2 The Extraterritorial Transmission Mechanism</w:t>
      </w:r>
    </w:p>
    <w:p>
      <w:r>
        <w:t>The CRA's extraterritorial impact operates through what Anu Bradford (2020) terms the "Brussels Effect" — the EU's ability to set global standards through market size rather than jurisdictional reach. The mechanism operates through two pathways:</w:t>
      </w:r>
    </w:p>
    <w:p>
      <w:pPr>
        <w:pStyle w:val="ListBullet"/>
      </w:pPr>
      <w:r>
        <w:t>De facto effect: Manufacturers selling globally adopt CRA-compliant practices across all markets to avoid maintaining separate product lines. A US-based open-source library maintainer whose code is used by an EU manufacturer must meet CRA vulnerability reporting standards; it does not cease compliance for non-EU users of the same library.</w:t>
      </w:r>
    </w:p>
    <w:p>
      <w:pPr>
        <w:pStyle w:val="ListBullet"/>
      </w:pPr>
      <w:r>
        <w:t>Supply chain cascade: Open-source dependencies, cloud SDKs, and app-store policies adjust to CRA obligations imposed on their commercial users. These adjustments propagate through the dependency graph to all downstream applications, including those serving exclusively non-EU markets.</w:t>
      </w:r>
    </w:p>
    <w:p>
      <w:r>
        <w:t>This cascade is particularly consequential for East Africa. The region's digital economy relies heavily on Android-based smartphones, many of which enter the market as refurbished or entry-level devices using older chip architectures and OS versions. As Google's Android API level requirements rise — partly driven by CRA-adjacent supply chain obligations — applications targeting lower API levels become unable to integrate with current SDKs, effectively orphaned at the code layer (Canalys/Omdia, 2025).</w:t>
      </w:r>
    </w:p>
    <w:p>
      <w:pPr>
        <w:pStyle w:val="Heading2"/>
      </w:pPr>
      <w:r>
        <w:t>3. East African ICT Statutes: A Comparative Analysis</w:t>
      </w:r>
    </w:p>
    <w:p>
      <w:pPr>
        <w:pStyle w:val="Heading3"/>
      </w:pPr>
      <w:r>
        <w:t>3.1 The Monolithic Foundation</w:t>
      </w:r>
    </w:p>
    <w:p>
      <w:r>
        <w:t>The four major EAC Partner States each maintain ICT statutes whose foundational definitions treat the computer as an undifferentiated object.</w:t>
      </w:r>
    </w:p>
    <w:p>
      <w:pPr>
        <w:pStyle w:val="Heading3"/>
      </w:pPr>
      <w:r>
        <w:t>Uganda: Computer Misuse Act, 2011</w:t>
      </w:r>
    </w:p>
    <w:p>
      <w:r>
        <w:t>Both the Computer Misuse Act, 2011 (as amended) and the Electronic Transactions Act, 2011 define "computer" as "an electronic, magnetic, optical, electrochemical or other data processing device or a group of such interconnected or related devices, performing logical, arithmetic or storage functions" (CMA 2011, s. 1; ETA 2011, s. 1). This is a hardware-only definition. There is no reference to firmware, operating system, virtualization layer, or software dependency chain.</w:t>
      </w:r>
    </w:p>
    <w:p>
      <w:pPr>
        <w:pStyle w:val="Heading3"/>
      </w:pPr>
      <w:r>
        <w:t>Tanzania: Cybercrimes Act, 2015</w:t>
      </w:r>
    </w:p>
    <w:p>
      <w:r>
        <w:t>Tanzania's Cybercrimes Act, 2015 defines a "computer system" as "a device or combination of devices... capable of being used in conjunction with external files which contain computer programmes, electronic instructions, input data and output data" (s. 3). It explicitly captures mobile phones but still treats the entire technology stack as a single undifferentiated "system."</w:t>
      </w:r>
    </w:p>
    <w:p>
      <w:pPr>
        <w:pStyle w:val="Heading3"/>
      </w:pPr>
      <w:r>
        <w:t>Rwanda: Law No. 60/2018</w:t>
      </w:r>
    </w:p>
    <w:p>
      <w:r>
        <w:t>Rwanda's Law No. 60/2018 shifts emphasis toward data rather than the device, defining "computer data" as "any representation of facts, information, or concepts in a form suitable for processing in a computer system or a computer" (Art. 2). It remains silent on the layered relationship between hardware, OS, and applications.</w:t>
      </w:r>
    </w:p>
    <w:p>
      <w:pPr>
        <w:pStyle w:val="Heading3"/>
      </w:pPr>
      <w:r>
        <w:t>Kenya: Computer Misuse and Cybercrimes Act, 2018</w:t>
      </w:r>
    </w:p>
    <w:p>
      <w:r>
        <w:t>Kenya's CMCA, 2018 comes closest to acknowledging layering. It defines a "computer system" as "a physical or virtual device, or a set of associated physical or virtual devices... including mobile devices" and adds that "reference to a computer system includes a reference to part of a computer system" (s. 2). However, even Kenya uses layering language only as a jurisdictional extension, not to allocate regulatory responsibility across the supply chain.</w:t>
      </w:r>
    </w:p>
    <w:p>
      <w:r>
        <w:t>None of the four frameworks was drafted with the CRA's central insight: that a digital product is a composite of components built by different parties, each bearing distinct security duties. Our statutes ask "was there unauthorized access to a computer?" The CRA asks "which layer's manufacturer failed to meet a security-by-design obligation?" These are different legal universes.</w:t>
      </w:r>
    </w:p>
    <w:p>
      <w:pPr>
        <w:pStyle w:val="Heading2"/>
      </w:pPr>
      <w:r>
        <w:t>4. Institutional Fragmentation: The Ugandan Case</w:t>
      </w:r>
    </w:p>
    <w:p>
      <w:r>
        <w:t>Uganda's domestic regulatory architecture for ICT exemplifies the coordination problem. Three separate agencies exercise jurisdiction over the same digital device: the Uganda National Bureau of Standards (UNBS) for hardware standards, the Uganda Communications Commission (UCC) for telecommunications type-approval, and the National Information Technology Authority (NITA-U) for software certification and e-government. These agencies operate without any statutory coordination mechanism. None evaluates whether the software supply chain supporting a device will render it unsupported within its expected useful life.</w:t>
      </w:r>
    </w:p>
    <w:p>
      <w:pPr>
        <w:pStyle w:val="Heading3"/>
      </w:pPr>
      <w:r>
        <w:t>4.1 The Obsolescence Trap</w:t>
      </w:r>
    </w:p>
    <w:p>
      <w:r>
        <w:t>The Obsolescence Trap operates through a three-step mechanism: (1) a refurbished Android device enters the Ugandan market — UNBS-certified, UCC type-approved, NITA-U registered. (2) Google raises minimum API level requirements; an open-source TLS library patches a vulnerability the chipset's kernel cannot support; an SDK drops support for older ARM architectures. (3) Local applications update to current SDKs, which no longer support the device. The device remains physically functional but digitally excluded.</w:t>
      </w:r>
    </w:p>
    <w:p>
      <w:pPr>
        <w:pStyle w:val="Heading3"/>
      </w:pPr>
      <w:r>
        <w:t>4.2 Market Exposure</w:t>
      </w:r>
    </w:p>
    <w:p>
      <w:r>
        <w:t>Uganda's internet penetration stands at approximately 28% (DataReportal, 2025), with 14.2 million users. Kenya reports smartphone penetration above 80% (Canalys, 2025). Rwanda: 38% (ITU, 2025). Tanzania: 29%. A device-exclusion shock that Kenya can absorb could meaningfully set back digital adoption in Uganda and Tanzania, where refurbished devices constitute a higher proportion of the active fleet.</w:t>
      </w:r>
    </w:p>
    <w:p>
      <w:pPr>
        <w:pStyle w:val="Heading2"/>
      </w:pPr>
      <w:r>
        <w:t>5. Policy Response: Breaking the Pattern</w:t>
      </w:r>
    </w:p>
    <w:p>
      <w:r>
        <w:t>East Africa has a documented pattern of responding to European regulatory shifts by importing the finished legislative product. When Kenya drafted its Data Protection Act, 2019, officials borrowed heavily from the GDPR with comparatively little reference to the African Union's Malabo Convention (DataHub Consulting, 2024). This pattern — what van Staden (2025) terms "an imperialism of expediency" — prioritizes legislative throughput over institutional readiness.</w:t>
      </w:r>
    </w:p>
    <w:p>
      <w:pPr>
        <w:pStyle w:val="Heading3"/>
      </w:pPr>
      <w:r>
        <w:t>5.1 Pillar 1: Layered Statutory Definitions</w:t>
      </w:r>
    </w:p>
    <w:p>
      <w:r>
        <w:t>East African ICT statutes should define "computer system" in layered terms distinguishing hardware, firmware, operating environment, application software, and cloud-dependent services, with distinct obligations attaching to each layer's duty-bearer.</w:t>
      </w:r>
    </w:p>
    <w:p>
      <w:pPr>
        <w:pStyle w:val="Heading3"/>
      </w:pPr>
      <w:r>
        <w:t>5.2 Pillar 2: Regional Early-Warning Mechanism</w:t>
      </w:r>
    </w:p>
    <w:p>
      <w:r>
        <w:t>The EAC Secretariat should monitor upstream regulatory shifts — CRA implementation timelines, Android/iOS minimum OS requirements, open-source security baseline changes — and publish annual device-exclusion risk assessments.</w:t>
      </w:r>
    </w:p>
    <w:p>
      <w:pPr>
        <w:pStyle w:val="Heading3"/>
      </w:pPr>
      <w:r>
        <w:t>5.3 Pillar 3: Hardware Sovereignty Investment</w:t>
      </w:r>
    </w:p>
    <w:p>
      <w:r>
        <w:t>East African states should subsidize domestic hardware assembly and localized manufacturing that ships with current security baselines, reducing dependence on imported devices with externally-determined expiration dates.</w:t>
      </w:r>
    </w:p>
    <w:p>
      <w:pPr>
        <w:pStyle w:val="Heading3"/>
      </w:pPr>
      <w:r>
        <w:t>5.4 Pillar 4: Shared Compliance Infrastructure</w:t>
      </w:r>
    </w:p>
    <w:p>
      <w:r>
        <w:t>A centralized National SBOM Bureau — through a coordinated mandate from UNBS, UCC, and NITA-U — would function as a public utility performing automated dependency auditing and SBOM generation. A parallel university-anchored facility would maintain security patches for legacy open-source libraries.</w:t>
      </w:r>
    </w:p>
    <w:p>
      <w:pPr>
        <w:pStyle w:val="Heading2"/>
      </w:pPr>
      <w:r>
        <w:t>6. Conclusion</w:t>
      </w:r>
    </w:p>
    <w:p>
      <w:r>
        <w:t>The Cyber Resilience Act is not a threat to East Africa. It is a diagnostic instrument. It reveals that a legal framework which defines "computer" as a monolith cannot regulate — or protect — a market built in layers. It exposes the absence of any institutional mechanism tasked with watching the global software supply chain. And it forces a question that East African policymakers have not yet had to answer: who is responsible for which layer, and who is watching what happens when the layers above us move?</w:t>
      </w:r>
    </w:p>
    <w:p>
      <w:r>
        <w:t>The region does not need to copy the CRA. It needs its own answer to that question. Until our statutes and institutions can answer it, Kibirige's phone will keep quietly falling out of the market — not because any single actor decided to exclude him, but because nobody's job was to notice he was about to be.</w:t>
      </w:r>
    </w:p>
    <w:p>
      <w:pPr>
        <w:pStyle w:val="Heading2"/>
      </w:pPr>
      <w:r>
        <w:t>References</w:t>
      </w:r>
    </w:p>
    <w:p>
      <w:pPr>
        <w:pStyle w:val="ListBullet"/>
      </w:pPr>
      <w:r>
        <w:t>Bradford, A. (2020). The Brussels Effect: How the European Union Rules the World. Oxford University Press.</w:t>
      </w:r>
    </w:p>
    <w:p>
      <w:pPr>
        <w:pStyle w:val="ListBullet"/>
      </w:pPr>
      <w:r>
        <w:t>Canalys/Omdia. (2025). Africa Smartphone Market Q2 2025.</w:t>
      </w:r>
    </w:p>
    <w:p>
      <w:pPr>
        <w:pStyle w:val="ListBullet"/>
      </w:pPr>
      <w:r>
        <w:t>DataHub Consulting. (2024). Comparing Kenya Data Protection Act 2019 to EU GDPR.</w:t>
      </w:r>
    </w:p>
    <w:p>
      <w:pPr>
        <w:pStyle w:val="ListBullet"/>
      </w:pPr>
      <w:r>
        <w:t>DataReportal. (2025). Digital 2025: Uganda.</w:t>
      </w:r>
    </w:p>
    <w:p>
      <w:pPr>
        <w:pStyle w:val="ListBullet"/>
      </w:pPr>
      <w:r>
        <w:t>Endor Labs. (2026). The EU Cyber Resilience Act and the Software Supply Chain.</w:t>
      </w:r>
    </w:p>
    <w:p>
      <w:pPr>
        <w:pStyle w:val="ListBullet"/>
      </w:pPr>
      <w:r>
        <w:t>European Commission. (2024). Regulation (EU) 2024/2847 — Cyber Resilience Act.</w:t>
      </w:r>
    </w:p>
    <w:p>
      <w:pPr>
        <w:pStyle w:val="ListBullet"/>
      </w:pPr>
      <w:r>
        <w:t>Finite State. (2026). Software Supply Chain Security Under the EU Cyber Resilience Act.</w:t>
      </w:r>
    </w:p>
    <w:p>
      <w:pPr>
        <w:pStyle w:val="ListBullet"/>
      </w:pPr>
      <w:r>
        <w:t>ITU. (2025). Global Cybersecurity Index 2025.</w:t>
      </w:r>
    </w:p>
    <w:p>
      <w:pPr>
        <w:pStyle w:val="ListBullet"/>
      </w:pPr>
      <w:r>
        <w:t>Kenya. (2018). Computer Misuse and Cybercrimes Act, No. 5 of 2018.</w:t>
      </w:r>
    </w:p>
    <w:p>
      <w:pPr>
        <w:pStyle w:val="ListBullet"/>
      </w:pPr>
      <w:r>
        <w:t>Kenya. (2019). Data Protection Act, No. 24 of 2019.</w:t>
      </w:r>
    </w:p>
    <w:p>
      <w:pPr>
        <w:pStyle w:val="ListBullet"/>
      </w:pPr>
      <w:r>
        <w:t>OpsWat. (2026). EU CRA: A Roadmap to Software Supply Chain and SBOM Compliance.</w:t>
      </w:r>
    </w:p>
    <w:p>
      <w:pPr>
        <w:pStyle w:val="ListBullet"/>
      </w:pPr>
      <w:r>
        <w:t>Rwanda. (2018). Law No. 60/2018 on Cybersecurity.</w:t>
      </w:r>
    </w:p>
    <w:p>
      <w:pPr>
        <w:pStyle w:val="ListBullet"/>
      </w:pPr>
      <w:r>
        <w:t>SafeBoda. (2025). Company Profile and About Us.</w:t>
      </w:r>
    </w:p>
    <w:p>
      <w:pPr>
        <w:pStyle w:val="ListBullet"/>
      </w:pPr>
      <w:r>
        <w:t>Statista. (2025). Internet Penetration in Africa by Country 2025.</w:t>
      </w:r>
    </w:p>
    <w:p>
      <w:pPr>
        <w:pStyle w:val="ListBullet"/>
      </w:pPr>
      <w:r>
        <w:t>Tanzania. (2015). Cybercrimes Act, No. 14 of 2015.</w:t>
      </w:r>
    </w:p>
    <w:p>
      <w:pPr>
        <w:pStyle w:val="ListBullet"/>
      </w:pPr>
      <w:r>
        <w:t>Uganda. (2011). Computer Misuse Act, No. 2 of 2011 (as amended).</w:t>
      </w:r>
    </w:p>
    <w:p>
      <w:pPr>
        <w:pStyle w:val="ListBullet"/>
      </w:pPr>
      <w:r>
        <w:t>Uganda. (2011). Electronic Transactions Act, Cap. 99.</w:t>
      </w:r>
    </w:p>
    <w:p>
      <w:pPr>
        <w:pStyle w:val="ListBullet"/>
      </w:pPr>
      <w:r>
        <w:t>Van Staden, M. (2025). The Brussels Effect and Imperialism of Expediency. IATP.</w:t>
      </w:r>
    </w:p>
    <w:p>
      <w:pPr>
        <w:pStyle w:val="ListBullet"/>
      </w:pPr>
      <w:r>
        <w:t>BHLUEMOUNTAIN. (2025). Rwanda Hits 38% Internet Penetration.</w:t>
      </w:r>
    </w:p>
    <w:p>
      <w:pPr>
        <w:pStyle w:val="ListBullet"/>
      </w:pPr>
      <w:r>
        <w:t>Tremhost. (2025). Internet Penetration in Africa by Country: Statistics and Trends.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