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ADD9" w14:textId="77777777" w:rsidR="008E1044" w:rsidRPr="00E037B9" w:rsidRDefault="00000000">
      <w:pPr>
        <w:pStyle w:val="Heading1"/>
        <w:rPr>
          <w:rFonts w:ascii="Cambria" w:hAnsi="Cambria"/>
          <w:sz w:val="24"/>
          <w:szCs w:val="24"/>
        </w:rPr>
      </w:pPr>
      <w:r w:rsidRPr="00E037B9">
        <w:rPr>
          <w:rFonts w:ascii="Cambria" w:hAnsi="Cambria"/>
          <w:sz w:val="24"/>
          <w:szCs w:val="24"/>
        </w:rPr>
        <w:t>The Abstraction Layer Problem</w:t>
      </w:r>
    </w:p>
    <w:p w14:paraId="710F52A4" w14:textId="77777777" w:rsidR="008E1044" w:rsidRPr="00E037B9" w:rsidRDefault="00000000">
      <w:pPr>
        <w:rPr>
          <w:rFonts w:ascii="Cambria" w:hAnsi="Cambria"/>
          <w:sz w:val="24"/>
          <w:szCs w:val="24"/>
        </w:rPr>
      </w:pPr>
      <w:r w:rsidRPr="00E037B9">
        <w:rPr>
          <w:rFonts w:ascii="Cambria" w:hAnsi="Cambria"/>
          <w:i/>
          <w:sz w:val="24"/>
          <w:szCs w:val="24"/>
        </w:rPr>
        <w:t>Why the EU Cyber Resilience Act Exposes East Africa's Monolithic ICT Laws — and What to Do About It</w:t>
      </w:r>
    </w:p>
    <w:p w14:paraId="73E26499" w14:textId="77777777" w:rsidR="008E1044" w:rsidRPr="00E037B9" w:rsidRDefault="00000000">
      <w:pPr>
        <w:pStyle w:val="Heading2"/>
        <w:rPr>
          <w:rFonts w:ascii="Cambria" w:hAnsi="Cambria"/>
          <w:sz w:val="24"/>
          <w:szCs w:val="24"/>
        </w:rPr>
      </w:pPr>
      <w:r w:rsidRPr="00E037B9">
        <w:rPr>
          <w:rFonts w:ascii="Cambria" w:hAnsi="Cambria"/>
          <w:sz w:val="24"/>
          <w:szCs w:val="24"/>
        </w:rPr>
        <w:t>The Ghost in the Ride-Hailing App</w:t>
      </w:r>
    </w:p>
    <w:p w14:paraId="4F3A27B5" w14:textId="77777777" w:rsidR="008E1044" w:rsidRPr="00E037B9" w:rsidRDefault="00000000">
      <w:pPr>
        <w:rPr>
          <w:rFonts w:ascii="Cambria" w:hAnsi="Cambria"/>
          <w:sz w:val="24"/>
          <w:szCs w:val="24"/>
        </w:rPr>
      </w:pPr>
      <w:r w:rsidRPr="00E037B9">
        <w:rPr>
          <w:rFonts w:ascii="Cambria" w:hAnsi="Cambria"/>
          <w:sz w:val="24"/>
          <w:szCs w:val="24"/>
        </w:rPr>
        <w:t>Kibirige rides a motorcycle taxi in Kampala. In 2024, he bought an affordable, entry-level Android smartphone. It still works fine — for now. SafeBoda's engineers built their application to run on devices exactly like his because that is the precise demographic marketplace they serve.</w:t>
      </w:r>
    </w:p>
    <w:p w14:paraId="05123AC7" w14:textId="77777777" w:rsidR="008E1044" w:rsidRPr="00E037B9" w:rsidRDefault="00000000">
      <w:pPr>
        <w:rPr>
          <w:rFonts w:ascii="Cambria" w:hAnsi="Cambria"/>
          <w:sz w:val="24"/>
          <w:szCs w:val="24"/>
        </w:rPr>
      </w:pPr>
      <w:r w:rsidRPr="00E037B9">
        <w:rPr>
          <w:rFonts w:ascii="Cambria" w:hAnsi="Cambria"/>
          <w:sz w:val="24"/>
          <w:szCs w:val="24"/>
        </w:rPr>
        <w:t>But SafeBoda does not build its software in a domestic vacuum. Its application intrinsically depends on open-source libraries, cloud SDKs, global authentication providers, and app-store requirements that are governed and maintained far outside the borders of Uganda.</w:t>
      </w:r>
    </w:p>
    <w:p w14:paraId="2765869D" w14:textId="77777777" w:rsidR="008E1044" w:rsidRPr="00E037B9" w:rsidRDefault="00000000">
      <w:pPr>
        <w:rPr>
          <w:rFonts w:ascii="Cambria" w:hAnsi="Cambria"/>
          <w:sz w:val="24"/>
          <w:szCs w:val="24"/>
        </w:rPr>
      </w:pPr>
      <w:r w:rsidRPr="00E037B9">
        <w:rPr>
          <w:rFonts w:ascii="Cambria" w:hAnsi="Cambria"/>
          <w:sz w:val="24"/>
          <w:szCs w:val="24"/>
        </w:rPr>
        <w:t>As those upstream layers raise their security baselines — largely in response to sweeping foreign regulatory instruments like the European Union's Cyber Resilience Act (CRA) — the engineering cost of continuing to support older, cheaper devices rises exponentially. At some point, a local tech company faces a cold commercial calculation: keep paying specialized developers to manually patch compatibility for Kibirige's phone, or quietly raise the application's minimum device requirements.</w:t>
      </w:r>
    </w:p>
    <w:p w14:paraId="7CE9EFDA" w14:textId="77777777" w:rsidR="008E1044" w:rsidRPr="00E037B9" w:rsidRDefault="00000000">
      <w:pPr>
        <w:rPr>
          <w:rFonts w:ascii="Cambria" w:hAnsi="Cambria"/>
          <w:sz w:val="24"/>
          <w:szCs w:val="24"/>
        </w:rPr>
      </w:pPr>
      <w:r w:rsidRPr="00E037B9">
        <w:rPr>
          <w:rFonts w:ascii="Cambria" w:hAnsi="Cambria"/>
          <w:sz w:val="24"/>
          <w:szCs w:val="24"/>
        </w:rPr>
        <w:t>No EU regulator ever wrote a rule intended for Uganda. Kibirige gets digitally excluded anyway.</w:t>
      </w:r>
    </w:p>
    <w:p w14:paraId="35A36E97" w14:textId="77777777" w:rsidR="008E1044" w:rsidRPr="00E037B9" w:rsidRDefault="00000000">
      <w:pPr>
        <w:rPr>
          <w:rFonts w:ascii="Cambria" w:hAnsi="Cambria"/>
          <w:sz w:val="24"/>
          <w:szCs w:val="24"/>
        </w:rPr>
      </w:pPr>
      <w:r w:rsidRPr="00E037B9">
        <w:rPr>
          <w:rFonts w:ascii="Cambria" w:hAnsi="Cambria"/>
          <w:sz w:val="24"/>
          <w:szCs w:val="24"/>
        </w:rPr>
        <w:t>This is not a hypothetical about the distant future. It is the predictable, systemic output of two compounding realities: a global technology stack that is deeply layered, and a domestic legal architecture that is completely monolithic.</w:t>
      </w:r>
    </w:p>
    <w:p w14:paraId="59D65C03" w14:textId="77777777" w:rsidR="008E1044" w:rsidRPr="00E037B9" w:rsidRDefault="00000000">
      <w:pPr>
        <w:pStyle w:val="Heading2"/>
        <w:rPr>
          <w:rFonts w:ascii="Cambria" w:hAnsi="Cambria"/>
          <w:sz w:val="24"/>
          <w:szCs w:val="24"/>
        </w:rPr>
      </w:pPr>
      <w:r w:rsidRPr="00E037B9">
        <w:rPr>
          <w:rFonts w:ascii="Cambria" w:hAnsi="Cambria"/>
          <w:sz w:val="24"/>
          <w:szCs w:val="24"/>
        </w:rPr>
        <w:t>The Blindspot of Monolithic Legislation</w:t>
      </w:r>
    </w:p>
    <w:p w14:paraId="0F94D208" w14:textId="77777777" w:rsidR="008E1044" w:rsidRPr="00E037B9" w:rsidRDefault="00000000">
      <w:pPr>
        <w:rPr>
          <w:rFonts w:ascii="Cambria" w:hAnsi="Cambria"/>
          <w:sz w:val="24"/>
          <w:szCs w:val="24"/>
        </w:rPr>
      </w:pPr>
      <w:r w:rsidRPr="00E037B9">
        <w:rPr>
          <w:rFonts w:ascii="Cambria" w:hAnsi="Cambria"/>
          <w:sz w:val="24"/>
          <w:szCs w:val="24"/>
        </w:rPr>
        <w:t xml:space="preserve">As a legal professional, my first instinct when assessing global frameworks like the CRA is to look for the legal transmission mechanism. How does a law </w:t>
      </w:r>
      <w:proofErr w:type="gramStart"/>
      <w:r w:rsidRPr="00E037B9">
        <w:rPr>
          <w:rFonts w:ascii="Cambria" w:hAnsi="Cambria"/>
          <w:sz w:val="24"/>
          <w:szCs w:val="24"/>
        </w:rPr>
        <w:t>passed</w:t>
      </w:r>
      <w:proofErr w:type="gramEnd"/>
      <w:r w:rsidRPr="00E037B9">
        <w:rPr>
          <w:rFonts w:ascii="Cambria" w:hAnsi="Cambria"/>
          <w:sz w:val="24"/>
          <w:szCs w:val="24"/>
        </w:rPr>
        <w:t xml:space="preserve"> in Brussels manifest on a smartphone on the streets of Kampala?</w:t>
      </w:r>
    </w:p>
    <w:p w14:paraId="5B4A48CF" w14:textId="77777777" w:rsidR="008E1044" w:rsidRPr="00E037B9" w:rsidRDefault="00000000">
      <w:pPr>
        <w:rPr>
          <w:rFonts w:ascii="Cambria" w:hAnsi="Cambria"/>
          <w:sz w:val="24"/>
          <w:szCs w:val="24"/>
        </w:rPr>
      </w:pPr>
      <w:r w:rsidRPr="00E037B9">
        <w:rPr>
          <w:rFonts w:ascii="Cambria" w:hAnsi="Cambria"/>
          <w:sz w:val="24"/>
          <w:szCs w:val="24"/>
        </w:rPr>
        <w:t>The honest, uncomfortable answer is: through a mechanism that East African law does not currently recognize. Our legislative mindset treats ICT like a linear utility — similar to piping water or paving roads — regulating the endpoint (the final, assembled physical device) rather than the digital supply chain.</w:t>
      </w:r>
    </w:p>
    <w:p w14:paraId="4BD8071D" w14:textId="77777777" w:rsidR="008E1044" w:rsidRPr="00E037B9" w:rsidRDefault="00000000">
      <w:pPr>
        <w:rPr>
          <w:rFonts w:ascii="Cambria" w:hAnsi="Cambria"/>
          <w:sz w:val="24"/>
          <w:szCs w:val="24"/>
        </w:rPr>
      </w:pPr>
      <w:r w:rsidRPr="00E037B9">
        <w:rPr>
          <w:rFonts w:ascii="Cambria" w:hAnsi="Cambria"/>
          <w:sz w:val="24"/>
          <w:szCs w:val="24"/>
        </w:rPr>
        <w:lastRenderedPageBreak/>
        <w:t>When you strip a computer down to its fundamental computer science realities, it is an abstraction stack of at least six distinct layers: from physical hardware up to the operating system kernel and interpreted application languages. Because our laws do not understand the layers, they do not see the threat. When a foreign open-source library changes its security protocols to comply with the CRA, it disrupts the application layer, which in turn drops support for the legacy hardware layer below it.</w:t>
      </w:r>
    </w:p>
    <w:p w14:paraId="3995BC2D" w14:textId="77777777" w:rsidR="008E1044" w:rsidRPr="00E037B9" w:rsidRDefault="00000000">
      <w:pPr>
        <w:pStyle w:val="Heading2"/>
        <w:rPr>
          <w:rFonts w:ascii="Cambria" w:hAnsi="Cambria"/>
          <w:sz w:val="24"/>
          <w:szCs w:val="24"/>
        </w:rPr>
      </w:pPr>
      <w:r w:rsidRPr="00E037B9">
        <w:rPr>
          <w:rFonts w:ascii="Cambria" w:hAnsi="Cambria"/>
          <w:sz w:val="24"/>
          <w:szCs w:val="24"/>
        </w:rPr>
        <w:t>Four Statutes, One Blind Spot</w:t>
      </w:r>
    </w:p>
    <w:p w14:paraId="4060DF9E" w14:textId="77777777" w:rsidR="008E1044" w:rsidRPr="00E037B9" w:rsidRDefault="00000000">
      <w:pPr>
        <w:rPr>
          <w:rFonts w:ascii="Cambria" w:hAnsi="Cambria"/>
          <w:sz w:val="24"/>
          <w:szCs w:val="24"/>
        </w:rPr>
      </w:pPr>
      <w:r w:rsidRPr="00E037B9">
        <w:rPr>
          <w:rFonts w:ascii="Cambria" w:hAnsi="Cambria"/>
          <w:sz w:val="24"/>
          <w:szCs w:val="24"/>
        </w:rPr>
        <w:t>I went back to the primary texts. Here is how "computer" is actually defined across our region:</w:t>
      </w:r>
    </w:p>
    <w:p w14:paraId="5F6F7EFF" w14:textId="77777777" w:rsidR="008E1044" w:rsidRPr="00E037B9" w:rsidRDefault="00000000">
      <w:pPr>
        <w:rPr>
          <w:rFonts w:ascii="Cambria" w:hAnsi="Cambria"/>
          <w:sz w:val="24"/>
          <w:szCs w:val="24"/>
        </w:rPr>
      </w:pPr>
      <w:r w:rsidRPr="00E037B9">
        <w:rPr>
          <w:rFonts w:ascii="Cambria" w:hAnsi="Cambria"/>
          <w:b/>
          <w:sz w:val="24"/>
          <w:szCs w:val="24"/>
        </w:rPr>
        <w:t xml:space="preserve">Uganda: </w:t>
      </w:r>
      <w:r w:rsidRPr="00E037B9">
        <w:rPr>
          <w:rFonts w:ascii="Cambria" w:hAnsi="Cambria"/>
          <w:sz w:val="24"/>
          <w:szCs w:val="24"/>
        </w:rPr>
        <w:t>The Computer Misuse Act, 2011 defines "computer" as a hardware device. No reference to firmware, OS, or software supply chain. A purely endpoint-focused definition.</w:t>
      </w:r>
    </w:p>
    <w:p w14:paraId="5367EB3B" w14:textId="77777777" w:rsidR="008E1044" w:rsidRPr="00E037B9" w:rsidRDefault="00000000">
      <w:pPr>
        <w:rPr>
          <w:rFonts w:ascii="Cambria" w:hAnsi="Cambria"/>
          <w:sz w:val="24"/>
          <w:szCs w:val="24"/>
        </w:rPr>
      </w:pPr>
      <w:r w:rsidRPr="00E037B9">
        <w:rPr>
          <w:rFonts w:ascii="Cambria" w:hAnsi="Cambria"/>
          <w:b/>
          <w:sz w:val="24"/>
          <w:szCs w:val="24"/>
        </w:rPr>
        <w:t xml:space="preserve">Tanzania: </w:t>
      </w:r>
      <w:r w:rsidRPr="00E037B9">
        <w:rPr>
          <w:rFonts w:ascii="Cambria" w:hAnsi="Cambria"/>
          <w:sz w:val="24"/>
          <w:szCs w:val="24"/>
        </w:rPr>
        <w:t>The Cybercrimes Act, 2015 captures mobile phones explicitly but treats the whole stack as an undifferentiated "system."</w:t>
      </w:r>
    </w:p>
    <w:p w14:paraId="54B8142B" w14:textId="77777777" w:rsidR="008E1044" w:rsidRPr="00E037B9" w:rsidRDefault="00000000">
      <w:pPr>
        <w:rPr>
          <w:rFonts w:ascii="Cambria" w:hAnsi="Cambria"/>
          <w:sz w:val="24"/>
          <w:szCs w:val="24"/>
        </w:rPr>
      </w:pPr>
      <w:r w:rsidRPr="00E037B9">
        <w:rPr>
          <w:rFonts w:ascii="Cambria" w:hAnsi="Cambria"/>
          <w:b/>
          <w:sz w:val="24"/>
          <w:szCs w:val="24"/>
        </w:rPr>
        <w:t xml:space="preserve">Rwanda: </w:t>
      </w:r>
      <w:r w:rsidRPr="00E037B9">
        <w:rPr>
          <w:rFonts w:ascii="Cambria" w:hAnsi="Cambria"/>
          <w:sz w:val="24"/>
          <w:szCs w:val="24"/>
        </w:rPr>
        <w:t>Law No. 60/2018 shifts focus to "computer data" but remains silent on the layered interface between hardware, OS, and applications.</w:t>
      </w:r>
    </w:p>
    <w:p w14:paraId="34EA9861" w14:textId="77777777" w:rsidR="008E1044" w:rsidRPr="00E037B9" w:rsidRDefault="00000000">
      <w:pPr>
        <w:rPr>
          <w:rFonts w:ascii="Cambria" w:hAnsi="Cambria"/>
          <w:sz w:val="24"/>
          <w:szCs w:val="24"/>
        </w:rPr>
      </w:pPr>
      <w:r w:rsidRPr="00E037B9">
        <w:rPr>
          <w:rFonts w:ascii="Cambria" w:hAnsi="Cambria"/>
          <w:b/>
          <w:sz w:val="24"/>
          <w:szCs w:val="24"/>
        </w:rPr>
        <w:t xml:space="preserve">Kenya: </w:t>
      </w:r>
      <w:r w:rsidRPr="00E037B9">
        <w:rPr>
          <w:rFonts w:ascii="Cambria" w:hAnsi="Cambria"/>
          <w:sz w:val="24"/>
          <w:szCs w:val="24"/>
        </w:rPr>
        <w:t>The CMCA, 2018 comes closest, referencing "part of a computer system." But it uses this only as a jurisdictional hook, not as an allocation-of-responsibility framework.</w:t>
      </w:r>
    </w:p>
    <w:p w14:paraId="26E48427" w14:textId="77777777" w:rsidR="008E1044" w:rsidRPr="00E037B9" w:rsidRDefault="00000000">
      <w:pPr>
        <w:rPr>
          <w:rFonts w:ascii="Cambria" w:hAnsi="Cambria"/>
          <w:sz w:val="24"/>
          <w:szCs w:val="24"/>
        </w:rPr>
      </w:pPr>
      <w:r w:rsidRPr="00E037B9">
        <w:rPr>
          <w:rFonts w:ascii="Cambria" w:hAnsi="Cambria"/>
          <w:sz w:val="24"/>
          <w:szCs w:val="24"/>
        </w:rPr>
        <w:t>None of our four ICT frameworks was written with the CRA's core insight in mind: that a "product with digital elements" is a composite of components built by different parties, each of whom can introduce or fix a vulnerability, and each of whom therefore bears a distinct duty.</w:t>
      </w:r>
    </w:p>
    <w:p w14:paraId="27AE8783" w14:textId="77777777" w:rsidR="008E1044" w:rsidRPr="00E037B9" w:rsidRDefault="00000000">
      <w:pPr>
        <w:pStyle w:val="Heading2"/>
        <w:rPr>
          <w:rFonts w:ascii="Cambria" w:hAnsi="Cambria"/>
          <w:sz w:val="24"/>
          <w:szCs w:val="24"/>
        </w:rPr>
      </w:pPr>
      <w:r w:rsidRPr="00E037B9">
        <w:rPr>
          <w:rFonts w:ascii="Cambria" w:hAnsi="Cambria"/>
          <w:sz w:val="24"/>
          <w:szCs w:val="24"/>
        </w:rPr>
        <w:t>The Domestic Reality: Three Utterly Siloed Institutions</w:t>
      </w:r>
    </w:p>
    <w:p w14:paraId="6D918108" w14:textId="77777777" w:rsidR="008E1044" w:rsidRPr="00E037B9" w:rsidRDefault="00000000">
      <w:pPr>
        <w:rPr>
          <w:rFonts w:ascii="Cambria" w:hAnsi="Cambria"/>
          <w:sz w:val="24"/>
          <w:szCs w:val="24"/>
        </w:rPr>
      </w:pPr>
      <w:r w:rsidRPr="00E037B9">
        <w:rPr>
          <w:rFonts w:ascii="Cambria" w:hAnsi="Cambria"/>
          <w:sz w:val="24"/>
          <w:szCs w:val="24"/>
        </w:rPr>
        <w:t>In Uganda, three separate agencies regulate the same device in complete isolation:</w:t>
      </w:r>
    </w:p>
    <w:p w14:paraId="021004F3" w14:textId="77777777" w:rsidR="008E1044" w:rsidRPr="00E037B9" w:rsidRDefault="00000000">
      <w:pPr>
        <w:pStyle w:val="ListBullet"/>
        <w:rPr>
          <w:rFonts w:ascii="Cambria" w:hAnsi="Cambria"/>
          <w:sz w:val="24"/>
          <w:szCs w:val="24"/>
        </w:rPr>
      </w:pPr>
      <w:r w:rsidRPr="00E037B9">
        <w:rPr>
          <w:rFonts w:ascii="Cambria" w:hAnsi="Cambria"/>
          <w:sz w:val="24"/>
          <w:szCs w:val="24"/>
        </w:rPr>
        <w:t>UNBS — physical hardware standards.</w:t>
      </w:r>
    </w:p>
    <w:p w14:paraId="3B9A8744" w14:textId="77777777" w:rsidR="008E1044" w:rsidRPr="00E037B9" w:rsidRDefault="00000000">
      <w:pPr>
        <w:pStyle w:val="ListBullet"/>
        <w:rPr>
          <w:rFonts w:ascii="Cambria" w:hAnsi="Cambria"/>
          <w:sz w:val="24"/>
          <w:szCs w:val="24"/>
        </w:rPr>
      </w:pPr>
      <w:r w:rsidRPr="00E037B9">
        <w:rPr>
          <w:rFonts w:ascii="Cambria" w:hAnsi="Cambria"/>
          <w:sz w:val="24"/>
          <w:szCs w:val="24"/>
        </w:rPr>
        <w:t>UCC — telecommunications type-approval and spectrum.</w:t>
      </w:r>
    </w:p>
    <w:p w14:paraId="3243FCE5" w14:textId="77777777" w:rsidR="008E1044" w:rsidRPr="00E037B9" w:rsidRDefault="00000000">
      <w:pPr>
        <w:pStyle w:val="ListBullet"/>
        <w:rPr>
          <w:rFonts w:ascii="Cambria" w:hAnsi="Cambria"/>
          <w:sz w:val="24"/>
          <w:szCs w:val="24"/>
        </w:rPr>
      </w:pPr>
      <w:r w:rsidRPr="00E037B9">
        <w:rPr>
          <w:rFonts w:ascii="Cambria" w:hAnsi="Cambria"/>
          <w:sz w:val="24"/>
          <w:szCs w:val="24"/>
        </w:rPr>
        <w:t>NITA-U — software certification and e-government.</w:t>
      </w:r>
    </w:p>
    <w:p w14:paraId="7549A8B7" w14:textId="77777777" w:rsidR="008E1044" w:rsidRPr="00E037B9" w:rsidRDefault="00000000">
      <w:pPr>
        <w:rPr>
          <w:rFonts w:ascii="Cambria" w:hAnsi="Cambria"/>
          <w:sz w:val="24"/>
          <w:szCs w:val="24"/>
        </w:rPr>
      </w:pPr>
      <w:r w:rsidRPr="00E037B9">
        <w:rPr>
          <w:rFonts w:ascii="Cambria" w:hAnsi="Cambria"/>
          <w:sz w:val="24"/>
          <w:szCs w:val="24"/>
        </w:rPr>
        <w:t>They operate in parallel universes. Zero structural coordination. None tracks the software supply chain that will determine whether that device still works in two years.</w:t>
      </w:r>
    </w:p>
    <w:p w14:paraId="25DA7848" w14:textId="77777777" w:rsidR="008E1044" w:rsidRPr="00E037B9" w:rsidRDefault="00000000">
      <w:pPr>
        <w:pStyle w:val="Heading2"/>
        <w:rPr>
          <w:rFonts w:ascii="Cambria" w:hAnsi="Cambria"/>
          <w:sz w:val="24"/>
          <w:szCs w:val="24"/>
        </w:rPr>
      </w:pPr>
      <w:r w:rsidRPr="00E037B9">
        <w:rPr>
          <w:rFonts w:ascii="Cambria" w:hAnsi="Cambria"/>
          <w:sz w:val="24"/>
          <w:szCs w:val="24"/>
        </w:rPr>
        <w:lastRenderedPageBreak/>
        <w:t>The Obsolescence Trap</w:t>
      </w:r>
    </w:p>
    <w:p w14:paraId="4945291D" w14:textId="77777777" w:rsidR="008E1044" w:rsidRPr="00E037B9" w:rsidRDefault="00000000">
      <w:pPr>
        <w:rPr>
          <w:rFonts w:ascii="Cambria" w:hAnsi="Cambria"/>
          <w:sz w:val="24"/>
          <w:szCs w:val="24"/>
        </w:rPr>
      </w:pPr>
      <w:r w:rsidRPr="00E037B9">
        <w:rPr>
          <w:rFonts w:ascii="Cambria" w:hAnsi="Cambria"/>
          <w:sz w:val="24"/>
          <w:szCs w:val="24"/>
        </w:rPr>
        <w:t>For years, East Africa's approach to bridging the digital divide relied on cheap, second-hand, refurbished hardware. The CRA shatters this model. As global open-source maintainers, cloud providers, and app stores raise their baselines to meet CRA obligations, older chip architectures and OS versions are systematically cut off at the code layer. No Western regulator banned refurbished phones from Uganda. Foreign software compliance simply renders them non-functional.</w:t>
      </w:r>
    </w:p>
    <w:p w14:paraId="467AD13B" w14:textId="77777777" w:rsidR="00932654" w:rsidRDefault="00000000" w:rsidP="00932654">
      <w:pPr>
        <w:rPr>
          <w:rFonts w:ascii="Cambria" w:hAnsi="Cambria"/>
          <w:sz w:val="24"/>
          <w:szCs w:val="24"/>
        </w:rPr>
      </w:pPr>
      <w:r w:rsidRPr="00E037B9">
        <w:rPr>
          <w:rFonts w:ascii="Cambria" w:hAnsi="Cambria"/>
          <w:sz w:val="24"/>
          <w:szCs w:val="24"/>
        </w:rPr>
        <w:t>Uganda closed 2025 with 28% internet penetration (14.2M users). Kenya: 80%+ smartphone penetration. Rwanda: 38%. Tanzania: 29%. A device-exclusion shock that Kenya can absorb could meaningfully set back digital adoption in Uganda or Tanzania.</w:t>
      </w:r>
    </w:p>
    <w:p w14:paraId="15D8F13B" w14:textId="3EAB0ED8" w:rsidR="00932654" w:rsidRPr="00E037B9" w:rsidRDefault="00000000" w:rsidP="00932654">
      <w:pPr>
        <w:rPr>
          <w:rFonts w:ascii="Cambria" w:hAnsi="Cambria"/>
          <w:sz w:val="24"/>
          <w:szCs w:val="24"/>
        </w:rPr>
      </w:pPr>
      <w:r w:rsidRPr="00E037B9">
        <w:rPr>
          <w:rFonts w:ascii="Cambria" w:hAnsi="Cambria"/>
          <w:sz w:val="24"/>
          <w:szCs w:val="24"/>
        </w:rPr>
        <w:t>A Blueprint for True Digital Sovereignty</w:t>
      </w:r>
    </w:p>
    <w:p w14:paraId="6F3C5932" w14:textId="77777777" w:rsidR="00E037B9" w:rsidRPr="00E037B9" w:rsidRDefault="00E037B9" w:rsidP="00E037B9">
      <w:pPr>
        <w:pStyle w:val="Heading2"/>
        <w:numPr>
          <w:ilvl w:val="0"/>
          <w:numId w:val="10"/>
        </w:numPr>
        <w:rPr>
          <w:rFonts w:ascii="Cambria" w:hAnsi="Cambria"/>
          <w:sz w:val="24"/>
          <w:szCs w:val="24"/>
          <w:lang w:val="en-UG"/>
        </w:rPr>
      </w:pPr>
      <w:r w:rsidRPr="00E037B9">
        <w:rPr>
          <w:rFonts w:ascii="Cambria" w:hAnsi="Cambria"/>
          <w:sz w:val="24"/>
          <w:szCs w:val="24"/>
          <w:lang w:val="en-UG"/>
        </w:rPr>
        <w:lastRenderedPageBreak/>
        <w:t xml:space="preserve">Adopt a Holistic Information and Communications Technology Governance Model </w:t>
      </w:r>
      <w:r w:rsidRPr="00932654">
        <w:rPr>
          <w:rFonts w:ascii="Cambria" w:hAnsi="Cambria"/>
          <w:b w:val="0"/>
          <w:bCs w:val="0"/>
          <w:color w:val="auto"/>
          <w:sz w:val="24"/>
          <w:szCs w:val="24"/>
          <w:lang w:val="en-UG"/>
        </w:rPr>
        <w:t>by recognising the digital ecosystem as a layered structure and coordinating governance across hardware, software, cloud services, telecommunications, cybersecurity, artificial intelligence, and digital infrastructure, with responsibilities allocated according to each layer.</w:t>
      </w:r>
      <w:r w:rsidRPr="00932654">
        <w:rPr>
          <w:rFonts w:ascii="Cambria" w:hAnsi="Cambria"/>
          <w:color w:val="auto"/>
          <w:sz w:val="24"/>
          <w:szCs w:val="24"/>
          <w:lang w:val="en-UG"/>
        </w:rPr>
        <w:t xml:space="preserve"> </w:t>
      </w:r>
    </w:p>
    <w:p w14:paraId="7936CCB2" w14:textId="77777777" w:rsidR="00E037B9" w:rsidRPr="00932654" w:rsidRDefault="00E037B9" w:rsidP="00E037B9">
      <w:pPr>
        <w:pStyle w:val="Heading2"/>
        <w:numPr>
          <w:ilvl w:val="0"/>
          <w:numId w:val="10"/>
        </w:numPr>
        <w:rPr>
          <w:rFonts w:ascii="Cambria" w:hAnsi="Cambria"/>
          <w:b w:val="0"/>
          <w:bCs w:val="0"/>
          <w:color w:val="auto"/>
          <w:sz w:val="24"/>
          <w:szCs w:val="24"/>
          <w:lang w:val="en-UG"/>
        </w:rPr>
      </w:pPr>
      <w:r w:rsidRPr="00E037B9">
        <w:rPr>
          <w:rFonts w:ascii="Cambria" w:hAnsi="Cambria"/>
          <w:sz w:val="24"/>
          <w:szCs w:val="24"/>
          <w:lang w:val="en-UG"/>
        </w:rPr>
        <w:t xml:space="preserve">Establish a Regional Information and Communications Technology Authority </w:t>
      </w:r>
      <w:r w:rsidRPr="00932654">
        <w:rPr>
          <w:rFonts w:ascii="Cambria" w:hAnsi="Cambria"/>
          <w:b w:val="0"/>
          <w:bCs w:val="0"/>
          <w:color w:val="auto"/>
          <w:sz w:val="24"/>
          <w:szCs w:val="24"/>
          <w:lang w:val="en-UG"/>
        </w:rPr>
        <w:t xml:space="preserve">as the East African Community's digital equivalent of a customs authority to centralise regional Information and Communications Technology governance, harmonise standards, coordinate cybersecurity, regulate digital trade, and oversee emerging technologies, while encouraging Partner States to consolidate national Information and Communications Technology functions under dedicated agencies. </w:t>
      </w:r>
    </w:p>
    <w:p w14:paraId="4657BA7B" w14:textId="77777777" w:rsidR="00E037B9" w:rsidRPr="00932654" w:rsidRDefault="00E037B9" w:rsidP="00932654">
      <w:pPr>
        <w:pStyle w:val="Heading2"/>
        <w:numPr>
          <w:ilvl w:val="0"/>
          <w:numId w:val="10"/>
        </w:numPr>
        <w:rPr>
          <w:rFonts w:ascii="Cambria" w:hAnsi="Cambria"/>
          <w:color w:val="auto"/>
          <w:sz w:val="24"/>
          <w:szCs w:val="24"/>
          <w:lang w:val="en-UG"/>
        </w:rPr>
      </w:pPr>
      <w:r w:rsidRPr="00E037B9">
        <w:rPr>
          <w:rFonts w:ascii="Cambria" w:hAnsi="Cambria"/>
          <w:sz w:val="24"/>
          <w:szCs w:val="24"/>
          <w:lang w:val="en-UG"/>
        </w:rPr>
        <w:t xml:space="preserve">Amend the Interpretation Provisions of Information and Communications Technology Legislation </w:t>
      </w:r>
      <w:r w:rsidRPr="00932654">
        <w:rPr>
          <w:rFonts w:ascii="Cambria" w:hAnsi="Cambria"/>
          <w:b w:val="0"/>
          <w:bCs w:val="0"/>
          <w:color w:val="auto"/>
          <w:sz w:val="24"/>
          <w:szCs w:val="24"/>
          <w:lang w:val="en-UG"/>
        </w:rPr>
        <w:t>to define a computer system in layered terms that distinguish hardware, firmware, operating systems, applications, cloud services, and network infrastructure, with corresponding allocation of legal responsibilities</w:t>
      </w:r>
      <w:r w:rsidRPr="00932654">
        <w:rPr>
          <w:rFonts w:ascii="Cambria" w:hAnsi="Cambria"/>
          <w:color w:val="auto"/>
          <w:sz w:val="24"/>
          <w:szCs w:val="24"/>
          <w:lang w:val="en-UG"/>
        </w:rPr>
        <w:t xml:space="preserve">. </w:t>
      </w:r>
    </w:p>
    <w:p w14:paraId="2E99D73A" w14:textId="77777777" w:rsidR="00E037B9" w:rsidRPr="00E037B9" w:rsidRDefault="00E037B9" w:rsidP="00E037B9">
      <w:pPr>
        <w:pStyle w:val="Heading2"/>
        <w:numPr>
          <w:ilvl w:val="0"/>
          <w:numId w:val="10"/>
        </w:numPr>
        <w:rPr>
          <w:rFonts w:ascii="Cambria" w:hAnsi="Cambria"/>
          <w:sz w:val="24"/>
          <w:szCs w:val="24"/>
          <w:lang w:val="en-UG"/>
        </w:rPr>
      </w:pPr>
      <w:r w:rsidRPr="00E037B9">
        <w:rPr>
          <w:rFonts w:ascii="Cambria" w:hAnsi="Cambria"/>
          <w:sz w:val="24"/>
          <w:szCs w:val="24"/>
          <w:lang w:val="en-UG"/>
        </w:rPr>
        <w:t xml:space="preserve">Create a Regional Early-Warning and Technology Monitoring Mechanism </w:t>
      </w:r>
      <w:r w:rsidRPr="00932654">
        <w:rPr>
          <w:rFonts w:ascii="Cambria" w:hAnsi="Cambria"/>
          <w:b w:val="0"/>
          <w:bCs w:val="0"/>
          <w:color w:val="auto"/>
          <w:sz w:val="24"/>
          <w:szCs w:val="24"/>
          <w:lang w:val="en-UG"/>
        </w:rPr>
        <w:t>within the East African Community Secretariat to monitor global technological and regulatory developments, publish periodic technology-readiness assessments, and enable proactive regional responses to emerging digital risks.</w:t>
      </w:r>
      <w:r w:rsidRPr="00932654">
        <w:rPr>
          <w:rFonts w:ascii="Cambria" w:hAnsi="Cambria"/>
          <w:color w:val="auto"/>
          <w:sz w:val="24"/>
          <w:szCs w:val="24"/>
          <w:lang w:val="en-UG"/>
        </w:rPr>
        <w:t xml:space="preserve"> </w:t>
      </w:r>
    </w:p>
    <w:p w14:paraId="5EE29E0A" w14:textId="77777777" w:rsidR="00E037B9" w:rsidRPr="00932654" w:rsidRDefault="00E037B9" w:rsidP="00E037B9">
      <w:pPr>
        <w:pStyle w:val="Heading2"/>
        <w:numPr>
          <w:ilvl w:val="0"/>
          <w:numId w:val="10"/>
        </w:numPr>
        <w:rPr>
          <w:rFonts w:ascii="Cambria" w:hAnsi="Cambria"/>
          <w:b w:val="0"/>
          <w:bCs w:val="0"/>
          <w:color w:val="auto"/>
          <w:sz w:val="24"/>
          <w:szCs w:val="24"/>
          <w:lang w:val="en-UG"/>
        </w:rPr>
      </w:pPr>
      <w:r w:rsidRPr="00E037B9">
        <w:rPr>
          <w:rFonts w:ascii="Cambria" w:hAnsi="Cambria"/>
          <w:sz w:val="24"/>
          <w:szCs w:val="24"/>
          <w:lang w:val="en-UG"/>
        </w:rPr>
        <w:t xml:space="preserve">Promote Regional Hardware Sovereignty </w:t>
      </w:r>
      <w:r w:rsidRPr="00932654">
        <w:rPr>
          <w:rFonts w:ascii="Cambria" w:hAnsi="Cambria"/>
          <w:b w:val="0"/>
          <w:bCs w:val="0"/>
          <w:color w:val="auto"/>
          <w:sz w:val="24"/>
          <w:szCs w:val="24"/>
          <w:lang w:val="en-UG"/>
        </w:rPr>
        <w:t xml:space="preserve">by supporting domestic and regional manufacturing of secure digital devices that comply with current international security standards, thereby reducing dependence on ageing imported technologies. </w:t>
      </w:r>
    </w:p>
    <w:p w14:paraId="36D5DAE5" w14:textId="77777777" w:rsidR="00E037B9" w:rsidRPr="00932654" w:rsidRDefault="00E037B9" w:rsidP="00E037B9">
      <w:pPr>
        <w:pStyle w:val="Heading2"/>
        <w:numPr>
          <w:ilvl w:val="0"/>
          <w:numId w:val="10"/>
        </w:numPr>
        <w:rPr>
          <w:rFonts w:ascii="Cambria" w:hAnsi="Cambria"/>
          <w:b w:val="0"/>
          <w:bCs w:val="0"/>
          <w:color w:val="auto"/>
          <w:sz w:val="24"/>
          <w:szCs w:val="24"/>
          <w:lang w:val="en-UG"/>
        </w:rPr>
      </w:pPr>
      <w:r w:rsidRPr="00E037B9">
        <w:rPr>
          <w:rFonts w:ascii="Cambria" w:hAnsi="Cambria"/>
          <w:sz w:val="24"/>
          <w:szCs w:val="24"/>
          <w:lang w:val="en-UG"/>
        </w:rPr>
        <w:t xml:space="preserve">Establish Shared Regional Compliance Infrastructure through a central Software Bill of Materials (SBOM) and Software Assurance Centre, </w:t>
      </w:r>
      <w:r w:rsidRPr="00932654">
        <w:rPr>
          <w:rFonts w:ascii="Cambria" w:hAnsi="Cambria"/>
          <w:b w:val="0"/>
          <w:bCs w:val="0"/>
          <w:color w:val="auto"/>
          <w:sz w:val="24"/>
          <w:szCs w:val="24"/>
          <w:lang w:val="en-UG"/>
        </w:rPr>
        <w:t xml:space="preserve">supported by university-based facilities for maintaining critical open-source software, to improve cybersecurity, reduce compliance costs, and strengthen the regional digital ecosystem. </w:t>
      </w:r>
    </w:p>
    <w:p w14:paraId="03EBCB89" w14:textId="77777777" w:rsidR="00932654" w:rsidRDefault="00932654">
      <w:pPr>
        <w:pStyle w:val="Heading2"/>
        <w:rPr>
          <w:rFonts w:ascii="Cambria" w:hAnsi="Cambria"/>
          <w:sz w:val="24"/>
          <w:szCs w:val="24"/>
        </w:rPr>
      </w:pPr>
    </w:p>
    <w:p w14:paraId="04D79E73" w14:textId="77777777" w:rsidR="00932654" w:rsidRDefault="00932654">
      <w:pPr>
        <w:pStyle w:val="Heading2"/>
        <w:rPr>
          <w:rFonts w:ascii="Cambria" w:hAnsi="Cambria"/>
          <w:sz w:val="24"/>
          <w:szCs w:val="24"/>
        </w:rPr>
      </w:pPr>
    </w:p>
    <w:p w14:paraId="65C335EC" w14:textId="07EC0710" w:rsidR="008E1044" w:rsidRPr="00E037B9" w:rsidRDefault="00000000">
      <w:pPr>
        <w:pStyle w:val="Heading2"/>
        <w:rPr>
          <w:rFonts w:ascii="Cambria" w:hAnsi="Cambria"/>
          <w:sz w:val="24"/>
          <w:szCs w:val="24"/>
        </w:rPr>
      </w:pPr>
      <w:r w:rsidRPr="00E037B9">
        <w:rPr>
          <w:rFonts w:ascii="Cambria" w:hAnsi="Cambria"/>
          <w:sz w:val="24"/>
          <w:szCs w:val="24"/>
        </w:rPr>
        <w:t>The Real Ask</w:t>
      </w:r>
    </w:p>
    <w:p w14:paraId="0CF883D1" w14:textId="77777777" w:rsidR="008E1044" w:rsidRPr="00E037B9" w:rsidRDefault="00000000">
      <w:pPr>
        <w:rPr>
          <w:rFonts w:ascii="Cambria" w:hAnsi="Cambria"/>
          <w:sz w:val="24"/>
          <w:szCs w:val="24"/>
        </w:rPr>
      </w:pPr>
      <w:r w:rsidRPr="00E037B9">
        <w:rPr>
          <w:rFonts w:ascii="Cambria" w:hAnsi="Cambria"/>
          <w:sz w:val="24"/>
          <w:szCs w:val="24"/>
        </w:rPr>
        <w:lastRenderedPageBreak/>
        <w:t>The Cyber Resilience Act is not a threat to fear. It is a mirror. It shows us, with unusual clarity, that a law which speaks of "computer" as a single, undifferentiated object cannot regulate — or protect — a market that is actually built in layers.</w:t>
      </w:r>
    </w:p>
    <w:p w14:paraId="34E59DAD" w14:textId="77777777" w:rsidR="008E1044" w:rsidRPr="00E037B9" w:rsidRDefault="00000000">
      <w:pPr>
        <w:rPr>
          <w:rFonts w:ascii="Cambria" w:hAnsi="Cambria"/>
          <w:sz w:val="24"/>
          <w:szCs w:val="24"/>
        </w:rPr>
      </w:pPr>
      <w:r w:rsidRPr="00E037B9">
        <w:rPr>
          <w:rFonts w:ascii="Cambria" w:hAnsi="Cambria"/>
          <w:sz w:val="24"/>
          <w:szCs w:val="24"/>
        </w:rPr>
        <w:t>East Africa does not need to copy the CRA. It needs its own answer to the question the CRA is forcing onto every jurisdiction that trades in software: who is responsible for which layer, and who is watching what happens when the layers above us move?</w:t>
      </w:r>
    </w:p>
    <w:p w14:paraId="67DECAE4" w14:textId="77777777" w:rsidR="008E1044" w:rsidRPr="00E037B9" w:rsidRDefault="00000000">
      <w:pPr>
        <w:rPr>
          <w:rFonts w:ascii="Cambria" w:hAnsi="Cambria"/>
          <w:sz w:val="24"/>
          <w:szCs w:val="24"/>
        </w:rPr>
      </w:pPr>
      <w:r w:rsidRPr="00E037B9">
        <w:rPr>
          <w:rFonts w:ascii="Cambria" w:hAnsi="Cambria"/>
          <w:sz w:val="24"/>
          <w:szCs w:val="24"/>
        </w:rPr>
        <w:t>Until our statutes and our institutions can answer that question, Kibirige's phone will keep quietly falling out of the market — not because any single actor decided to exclude him, but because nobody's job was to notice that he was about to be.</w:t>
      </w:r>
    </w:p>
    <w:sectPr w:rsidR="008E1044" w:rsidRPr="00E037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5244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E40283"/>
    <w:multiLevelType w:val="multilevel"/>
    <w:tmpl w:val="130A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375687">
    <w:abstractNumId w:val="8"/>
  </w:num>
  <w:num w:numId="2" w16cid:durableId="2107532472">
    <w:abstractNumId w:val="6"/>
  </w:num>
  <w:num w:numId="3" w16cid:durableId="1728454647">
    <w:abstractNumId w:val="5"/>
  </w:num>
  <w:num w:numId="4" w16cid:durableId="1344746662">
    <w:abstractNumId w:val="4"/>
  </w:num>
  <w:num w:numId="5" w16cid:durableId="1911382651">
    <w:abstractNumId w:val="7"/>
  </w:num>
  <w:num w:numId="6" w16cid:durableId="1281916739">
    <w:abstractNumId w:val="3"/>
  </w:num>
  <w:num w:numId="7" w16cid:durableId="737165759">
    <w:abstractNumId w:val="2"/>
  </w:num>
  <w:num w:numId="8" w16cid:durableId="491873621">
    <w:abstractNumId w:val="1"/>
  </w:num>
  <w:num w:numId="9" w16cid:durableId="1659188598">
    <w:abstractNumId w:val="0"/>
  </w:num>
  <w:num w:numId="10" w16cid:durableId="1631473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47"/>
    <w:rsid w:val="0015074B"/>
    <w:rsid w:val="0029639D"/>
    <w:rsid w:val="00311B96"/>
    <w:rsid w:val="00326F90"/>
    <w:rsid w:val="008E1044"/>
    <w:rsid w:val="00932654"/>
    <w:rsid w:val="00AA1D8D"/>
    <w:rsid w:val="00B47730"/>
    <w:rsid w:val="00CB0664"/>
    <w:rsid w:val="00E03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5D5C5"/>
  <w14:defaultImageDpi w14:val="300"/>
  <w15:docId w15:val="{6C59A4C5-6CFA-4E9F-BC5A-F247C57E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Intern Strategy</cp:lastModifiedBy>
  <cp:revision>2</cp:revision>
  <dcterms:created xsi:type="dcterms:W3CDTF">2013-12-23T23:15:00Z</dcterms:created>
  <dcterms:modified xsi:type="dcterms:W3CDTF">2026-07-07T15:35:00Z</dcterms:modified>
  <cp:category/>
</cp:coreProperties>
</file>