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6D397" w14:textId="77777777" w:rsidR="00EE53EF" w:rsidRPr="00EA2C79" w:rsidRDefault="00000000" w:rsidP="003B6E3E">
      <w:pPr>
        <w:pStyle w:val="Heading1"/>
        <w:jc w:val="both"/>
        <w:rPr>
          <w:rFonts w:asciiTheme="minorHAnsi" w:hAnsiTheme="minorHAnsi"/>
          <w:sz w:val="24"/>
          <w:szCs w:val="24"/>
        </w:rPr>
      </w:pPr>
      <w:r w:rsidRPr="003B6E3E">
        <w:rPr>
          <w:rFonts w:ascii="Cambria" w:hAnsi="Cambria"/>
          <w:sz w:val="24"/>
          <w:szCs w:val="24"/>
        </w:rPr>
        <w:t>Module 1: Digita</w:t>
      </w:r>
      <w:r w:rsidRPr="00EA2C79">
        <w:rPr>
          <w:rFonts w:asciiTheme="minorHAnsi" w:hAnsiTheme="minorHAnsi"/>
          <w:sz w:val="24"/>
          <w:szCs w:val="24"/>
        </w:rPr>
        <w:t>l Technology Fundamentals</w:t>
      </w:r>
    </w:p>
    <w:p w14:paraId="171018DB"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Week 2: Internet Architecture (TCP/IP, DNS, HTTP/HTTPS, Web Applications)</w:t>
      </w:r>
    </w:p>
    <w:p w14:paraId="5F964A98"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Learning Objectives</w:t>
      </w:r>
    </w:p>
    <w:p w14:paraId="23B89C8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1. Map the TCP/IP 5-layer model to data flows in digital forensics and determine at which layer an interception, breach, or service failure occurred.</w:t>
      </w:r>
    </w:p>
    <w:p w14:paraId="7C59FC2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2. Analyse the DNS resolution chain to establish jurisdiction over domain registration data and trace content distribution paths.</w:t>
      </w:r>
    </w:p>
    <w:p w14:paraId="232B297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3. Evaluate HTTP/HTTPS communications to distinguish between encrypted and unencrypted data for purposes of lawful interception under RICA and the DPA.</w:t>
      </w:r>
    </w:p>
    <w:p w14:paraId="49E307E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4. Apply Uganda's content and consumer protection regulations to internet-based services, including OTT platforms, web applications, and cloud computing.</w:t>
      </w:r>
    </w:p>
    <w:p w14:paraId="25B34046"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2.1 The Internet as a Network of Networks</w:t>
      </w:r>
    </w:p>
    <w:p w14:paraId="68B593F8"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2.1.1 The 5-Layer TCP/IP Model</w:t>
      </w:r>
    </w:p>
    <w:p w14:paraId="18FA896E"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Internet does not use the 7-layer OSI model in practice. Instead, it operates on a 5-layer TCP/IP model:</w:t>
      </w:r>
    </w:p>
    <w:tbl>
      <w:tblPr>
        <w:tblStyle w:val="TableGrid"/>
        <w:tblW w:w="0" w:type="auto"/>
        <w:tblLook w:val="04A0" w:firstRow="1" w:lastRow="0" w:firstColumn="1" w:lastColumn="0" w:noHBand="0" w:noVBand="1"/>
      </w:tblPr>
      <w:tblGrid>
        <w:gridCol w:w="2160"/>
        <w:gridCol w:w="2160"/>
        <w:gridCol w:w="2160"/>
        <w:gridCol w:w="2160"/>
      </w:tblGrid>
      <w:tr w:rsidR="00EE53EF" w:rsidRPr="00EA2C79" w14:paraId="5BBED730" w14:textId="77777777">
        <w:tc>
          <w:tcPr>
            <w:tcW w:w="2160" w:type="dxa"/>
          </w:tcPr>
          <w:p w14:paraId="5E770FDC"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Layer</w:t>
            </w:r>
          </w:p>
        </w:tc>
        <w:tc>
          <w:tcPr>
            <w:tcW w:w="2160" w:type="dxa"/>
          </w:tcPr>
          <w:p w14:paraId="18A84F07"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TCP/IP Model</w:t>
            </w:r>
          </w:p>
        </w:tc>
        <w:tc>
          <w:tcPr>
            <w:tcW w:w="2160" w:type="dxa"/>
          </w:tcPr>
          <w:p w14:paraId="0BEC8CCC"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Protocols</w:t>
            </w:r>
          </w:p>
        </w:tc>
        <w:tc>
          <w:tcPr>
            <w:tcW w:w="2160" w:type="dxa"/>
          </w:tcPr>
          <w:p w14:paraId="0CE22C01"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Role</w:t>
            </w:r>
          </w:p>
        </w:tc>
      </w:tr>
      <w:tr w:rsidR="00EE53EF" w:rsidRPr="00EA2C79" w14:paraId="7864855C" w14:textId="77777777">
        <w:tc>
          <w:tcPr>
            <w:tcW w:w="2160" w:type="dxa"/>
          </w:tcPr>
          <w:p w14:paraId="4352287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5</w:t>
            </w:r>
          </w:p>
        </w:tc>
        <w:tc>
          <w:tcPr>
            <w:tcW w:w="2160" w:type="dxa"/>
          </w:tcPr>
          <w:p w14:paraId="41E69FB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Application</w:t>
            </w:r>
          </w:p>
        </w:tc>
        <w:tc>
          <w:tcPr>
            <w:tcW w:w="2160" w:type="dxa"/>
          </w:tcPr>
          <w:p w14:paraId="478A047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HTTP, HTTPS, DNS, SMTP, FTP</w:t>
            </w:r>
          </w:p>
        </w:tc>
        <w:tc>
          <w:tcPr>
            <w:tcW w:w="2160" w:type="dxa"/>
          </w:tcPr>
          <w:p w14:paraId="14D988D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User-facing protocols; data originates here</w:t>
            </w:r>
          </w:p>
        </w:tc>
      </w:tr>
      <w:tr w:rsidR="00EE53EF" w:rsidRPr="00EA2C79" w14:paraId="1074A756" w14:textId="77777777">
        <w:tc>
          <w:tcPr>
            <w:tcW w:w="2160" w:type="dxa"/>
          </w:tcPr>
          <w:p w14:paraId="435D1D0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4</w:t>
            </w:r>
          </w:p>
        </w:tc>
        <w:tc>
          <w:tcPr>
            <w:tcW w:w="2160" w:type="dxa"/>
          </w:tcPr>
          <w:p w14:paraId="662F39B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Transport</w:t>
            </w:r>
          </w:p>
        </w:tc>
        <w:tc>
          <w:tcPr>
            <w:tcW w:w="2160" w:type="dxa"/>
          </w:tcPr>
          <w:p w14:paraId="3CC6B0D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TCP, UDP</w:t>
            </w:r>
          </w:p>
        </w:tc>
        <w:tc>
          <w:tcPr>
            <w:tcW w:w="2160" w:type="dxa"/>
          </w:tcPr>
          <w:p w14:paraId="2D7C311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End-to-end delivery; port numbers, segmentation</w:t>
            </w:r>
          </w:p>
        </w:tc>
      </w:tr>
      <w:tr w:rsidR="00EE53EF" w:rsidRPr="00EA2C79" w14:paraId="2B19C9D0" w14:textId="77777777">
        <w:tc>
          <w:tcPr>
            <w:tcW w:w="2160" w:type="dxa"/>
          </w:tcPr>
          <w:p w14:paraId="66444F81"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3</w:t>
            </w:r>
          </w:p>
        </w:tc>
        <w:tc>
          <w:tcPr>
            <w:tcW w:w="2160" w:type="dxa"/>
          </w:tcPr>
          <w:p w14:paraId="65AAE9B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Network</w:t>
            </w:r>
          </w:p>
        </w:tc>
        <w:tc>
          <w:tcPr>
            <w:tcW w:w="2160" w:type="dxa"/>
          </w:tcPr>
          <w:p w14:paraId="68D51A3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IP (IPv4, IPv6)</w:t>
            </w:r>
          </w:p>
        </w:tc>
        <w:tc>
          <w:tcPr>
            <w:tcW w:w="2160" w:type="dxa"/>
          </w:tcPr>
          <w:p w14:paraId="525BE981"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Routing; logical addressing across networks</w:t>
            </w:r>
          </w:p>
        </w:tc>
      </w:tr>
      <w:tr w:rsidR="00EE53EF" w:rsidRPr="00EA2C79" w14:paraId="7F5AA2FE" w14:textId="77777777">
        <w:tc>
          <w:tcPr>
            <w:tcW w:w="2160" w:type="dxa"/>
          </w:tcPr>
          <w:p w14:paraId="1760032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2</w:t>
            </w:r>
          </w:p>
        </w:tc>
        <w:tc>
          <w:tcPr>
            <w:tcW w:w="2160" w:type="dxa"/>
          </w:tcPr>
          <w:p w14:paraId="59650FA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Link</w:t>
            </w:r>
          </w:p>
        </w:tc>
        <w:tc>
          <w:tcPr>
            <w:tcW w:w="2160" w:type="dxa"/>
          </w:tcPr>
          <w:p w14:paraId="1515A35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Ethernet, Wi-Fi (802.11)</w:t>
            </w:r>
          </w:p>
        </w:tc>
        <w:tc>
          <w:tcPr>
            <w:tcW w:w="2160" w:type="dxa"/>
          </w:tcPr>
          <w:p w14:paraId="7A2883F1"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Physical addressing (MAC); local frame delivery</w:t>
            </w:r>
          </w:p>
        </w:tc>
      </w:tr>
      <w:tr w:rsidR="00EE53EF" w:rsidRPr="00EA2C79" w14:paraId="472315CB" w14:textId="77777777">
        <w:tc>
          <w:tcPr>
            <w:tcW w:w="2160" w:type="dxa"/>
          </w:tcPr>
          <w:p w14:paraId="532BE09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1</w:t>
            </w:r>
          </w:p>
        </w:tc>
        <w:tc>
          <w:tcPr>
            <w:tcW w:w="2160" w:type="dxa"/>
          </w:tcPr>
          <w:p w14:paraId="5553AD2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Physical</w:t>
            </w:r>
          </w:p>
        </w:tc>
        <w:tc>
          <w:tcPr>
            <w:tcW w:w="2160" w:type="dxa"/>
          </w:tcPr>
          <w:p w14:paraId="0625FEF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Copper, fibre, radio</w:t>
            </w:r>
          </w:p>
        </w:tc>
        <w:tc>
          <w:tcPr>
            <w:tcW w:w="2160" w:type="dxa"/>
          </w:tcPr>
          <w:p w14:paraId="7AB32F1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Raw bit transmission</w:t>
            </w:r>
          </w:p>
        </w:tc>
      </w:tr>
    </w:tbl>
    <w:p w14:paraId="2807F7AC" w14:textId="77777777" w:rsidR="00EE53EF" w:rsidRPr="00EA2C79" w:rsidRDefault="00EE53EF" w:rsidP="003B6E3E">
      <w:pPr>
        <w:jc w:val="both"/>
        <w:rPr>
          <w:rFonts w:asciiTheme="minorHAnsi" w:hAnsiTheme="minorHAnsi"/>
          <w:szCs w:val="24"/>
        </w:rPr>
      </w:pPr>
    </w:p>
    <w:p w14:paraId="54B53CA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Encapsulation is the process by which each layer adds its own header (and sometimes trailer):</w:t>
      </w:r>
    </w:p>
    <w:p w14:paraId="47E5A5B8" w14:textId="77777777" w:rsidR="00EE53EF" w:rsidRPr="00EA2C79" w:rsidRDefault="00000000" w:rsidP="003B6E3E">
      <w:pPr>
        <w:jc w:val="both"/>
        <w:rPr>
          <w:rFonts w:asciiTheme="minorHAnsi" w:hAnsiTheme="minorHAnsi"/>
          <w:szCs w:val="24"/>
        </w:rPr>
      </w:pPr>
      <w:r w:rsidRPr="00EA2C79">
        <w:rPr>
          <w:rFonts w:asciiTheme="minorHAnsi" w:hAnsiTheme="minorHAnsi"/>
          <w:i/>
          <w:szCs w:val="24"/>
        </w:rPr>
        <w:lastRenderedPageBreak/>
        <w:t>Application Data -&gt; TCP Header + App Data -&gt; IP Header + TCP + App -&gt; Ethernet Header + IP + TCP + App + Trailer</w:t>
      </w:r>
    </w:p>
    <w:p w14:paraId="50135AC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For the legal practitioner, each header reveals different jurisdictional information:</w:t>
      </w:r>
    </w:p>
    <w:p w14:paraId="118DB94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The IP header (Layer 3) reveals source/destination IP addresses, which can be geolocated.</w:t>
      </w:r>
    </w:p>
    <w:p w14:paraId="050A2C8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The TCP header (Layer 4) reveals port numbers, identifying the type of application (port 80 = HTTP, port 443 = HTTPS, port 53 = DNS).</w:t>
      </w:r>
    </w:p>
    <w:p w14:paraId="725B901C"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The application data (Layer 5) is the actual content — which may be encrypted (HTTPS) or plaintext (HTTP).</w:t>
      </w:r>
    </w:p>
    <w:p w14:paraId="3DB4642E"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2.1.2 The Network Edge vs. the Network Core</w:t>
      </w:r>
    </w:p>
    <w:p w14:paraId="4C7402A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Network Edge: End systems (hosts) where applications run — smartphones, laptops, servers, IoT devices.</w:t>
      </w:r>
    </w:p>
    <w:p w14:paraId="1997185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Network Core: The mesh of routers and links that move data between edge devices.</w:t>
      </w:r>
    </w:p>
    <w:p w14:paraId="548C85C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Legal significance: Lawful interception under RICA targets specific points in the network. The edge/core distinction determines whether data is "in transit" (core) or "at rest on a device" (edge), affecting both the warrant requirement and admissibility.</w:t>
      </w:r>
    </w:p>
    <w:p w14:paraId="2DF4555E"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2.1.3 Packet Switching vs. Circuit Switching</w:t>
      </w:r>
    </w:p>
    <w:p w14:paraId="117BD49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Internet uses packet switching: data is broken into packets, each routed independently. This creates jurisdictional complexity for cross-border data claims under DPA §19, because packets from Kampala to Nairobi may transit through London or Dubai.</w:t>
      </w:r>
    </w:p>
    <w:p w14:paraId="56974560"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2.2 The Domain Name System (DNS)</w:t>
      </w:r>
    </w:p>
    <w:p w14:paraId="044D4746"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2.2.1 The Problem DNS Solves</w:t>
      </w:r>
    </w:p>
    <w:p w14:paraId="23B4024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DNS is the Internet’s directory service that translates human-friendly hostnames (www.google.com) into machine-readable IP addresses (142.250.190.4). It is (1) a distributed database implemented in a hierarchy of DNS servers, and (2) an application-layer protocol running over UDP port 53.</w:t>
      </w:r>
    </w:p>
    <w:p w14:paraId="4BC819F6"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2.2.2 The DNS Hierarchy</w:t>
      </w:r>
    </w:p>
    <w:p w14:paraId="5698C6BC"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No single DNS server holds all mappings. The hierarchy is:</w:t>
      </w:r>
    </w:p>
    <w:p w14:paraId="3E0D085E"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Root DNS Servers → TLD Servers (.com, .ug, .ke) → Authoritative DNS Servers → Local DNS Server (ISP-provided)</w:t>
      </w:r>
    </w:p>
    <w:p w14:paraId="1506D17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lastRenderedPageBreak/>
        <w:t>Root servers provide IP addresses of TLD servers. TLD servers handle top-level domains. Authoritative servers hold actual DNS records. Local DNS servers act as proxies, forwarding queries from user hosts into the hierarchy.</w:t>
      </w:r>
    </w:p>
    <w:p w14:paraId="419EC1D5"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2.2.3 DNS Resolution Process</w:t>
      </w:r>
    </w:p>
    <w:p w14:paraId="027EEF0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When a user in Kampala types www.example.com into a browser:</w:t>
      </w:r>
    </w:p>
    <w:p w14:paraId="5AA4D9E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xml:space="preserve">1. Browser calls </w:t>
      </w:r>
      <w:proofErr w:type="gramStart"/>
      <w:r w:rsidRPr="00EA2C79">
        <w:rPr>
          <w:rFonts w:asciiTheme="minorHAnsi" w:hAnsiTheme="minorHAnsi"/>
          <w:szCs w:val="24"/>
        </w:rPr>
        <w:t>gethostbyname(</w:t>
      </w:r>
      <w:proofErr w:type="gramEnd"/>
      <w:r w:rsidRPr="00EA2C79">
        <w:rPr>
          <w:rFonts w:asciiTheme="minorHAnsi" w:hAnsiTheme="minorHAnsi"/>
          <w:szCs w:val="24"/>
        </w:rPr>
        <w:t>) (client side of DNS).</w:t>
      </w:r>
    </w:p>
    <w:p w14:paraId="01483E2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2. Query sent to local DNS server (e.g., MTN Uganda).</w:t>
      </w:r>
    </w:p>
    <w:p w14:paraId="4B85105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3. Local DNS queries a root server → gets TLD server for .com.</w:t>
      </w:r>
    </w:p>
    <w:p w14:paraId="4AD1DAD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4. Local DNS queries .com TLD server → gets authoritative server for example.com.</w:t>
      </w:r>
    </w:p>
    <w:p w14:paraId="6FC43BB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5. Local DNS queries authoritative server → gets IP address.</w:t>
      </w:r>
    </w:p>
    <w:p w14:paraId="5634F49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6. Browser initiates TCP connection to that IP address.</w:t>
      </w:r>
    </w:p>
    <w:p w14:paraId="48981567" w14:textId="26928777" w:rsidR="00EE53EF" w:rsidRPr="00EA2C79" w:rsidRDefault="00000000" w:rsidP="003B6E3E">
      <w:pPr>
        <w:jc w:val="both"/>
        <w:rPr>
          <w:rFonts w:asciiTheme="minorHAnsi" w:hAnsiTheme="minorHAnsi"/>
          <w:szCs w:val="24"/>
        </w:rPr>
      </w:pPr>
      <w:r w:rsidRPr="00EA2C79">
        <w:rPr>
          <w:rFonts w:asciiTheme="minorHAnsi" w:hAnsiTheme="minorHAnsi"/>
          <w:szCs w:val="24"/>
        </w:rPr>
        <w:t>Caching: DNS responses are cached at the local DNS server based on Time-To-Live (TTL) values.</w:t>
      </w:r>
      <w:r w:rsidR="000B0374" w:rsidRPr="00EA2C79">
        <w:rPr>
          <w:rFonts w:asciiTheme="minorHAnsi" w:hAnsiTheme="minorHAnsi"/>
          <w:szCs w:val="24"/>
        </w:rPr>
        <w:t xml:space="preserve"> </w:t>
      </w:r>
    </w:p>
    <w:p w14:paraId="0D79F460"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2.2.4 DNS Services Beyond Address Translation</w:t>
      </w:r>
    </w:p>
    <w:p w14:paraId="1AA0C631"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Host aliasing: A complicated canonical hostname can have simpler alias names (relevant to phishing/fraud cases).</w:t>
      </w:r>
    </w:p>
    <w:p w14:paraId="24E00BF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Mail server aliasing: MX records allow mail/web servers to share hostnames (relevant to tracing email origin).</w:t>
      </w:r>
    </w:p>
    <w:p w14:paraId="4236AA4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Load distribution: DNS rotates IP addresses among replicated servers (used by Akamai, Cloudflare).</w:t>
      </w:r>
    </w:p>
    <w:p w14:paraId="462EAF65"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2.2.5 The .ug ccTLD and Ugandan Domain Administration</w:t>
      </w:r>
    </w:p>
    <w:p w14:paraId="080B947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.ug country-code top-level domain is administered by the Uganda Internet Exchange Point (UIXP) under the authority of UCC. WHOIS lookups reveal registrant information relevant to content disputes. UCC Content Regulations, 2019, Regulation 7 requires operators to retain content records for at least 60 days — applying to internet-based content services as well (Regulation 5).</w:t>
      </w:r>
    </w:p>
    <w:p w14:paraId="3F4BDD8B"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2.3 HTTP and HTTPS</w:t>
      </w:r>
    </w:p>
    <w:p w14:paraId="5C7EF370"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2.3.1 The Web’s Application-Layer Protocol</w:t>
      </w:r>
    </w:p>
    <w:p w14:paraId="0D4DF6A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HTTP is a stateless, text-based request-response protocol running over TCP (port 80 for HTTP, port 443 for HTTPS).</w:t>
      </w:r>
    </w:p>
    <w:p w14:paraId="02FBBB16"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lastRenderedPageBreak/>
        <w:t>2.3.2 HTTP Request-Response Cycle</w:t>
      </w:r>
    </w:p>
    <w:p w14:paraId="0E44F5B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Client (Browser) sends request: GET /index.html HTTP/1.1 with Host, User-Agent, Cookie headers.</w:t>
      </w:r>
    </w:p>
    <w:p w14:paraId="069416B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Server responds: HTTP/1.1 200 OK with Content-Type, Set-Cookie, body.</w:t>
      </w:r>
    </w:p>
    <w:tbl>
      <w:tblPr>
        <w:tblStyle w:val="TableGrid"/>
        <w:tblW w:w="0" w:type="auto"/>
        <w:tblLook w:val="04A0" w:firstRow="1" w:lastRow="0" w:firstColumn="1" w:lastColumn="0" w:noHBand="0" w:noVBand="1"/>
      </w:tblPr>
      <w:tblGrid>
        <w:gridCol w:w="2880"/>
        <w:gridCol w:w="2880"/>
        <w:gridCol w:w="2880"/>
      </w:tblGrid>
      <w:tr w:rsidR="00EE53EF" w:rsidRPr="00EA2C79" w14:paraId="23206246" w14:textId="77777777">
        <w:tc>
          <w:tcPr>
            <w:tcW w:w="2880" w:type="dxa"/>
          </w:tcPr>
          <w:p w14:paraId="7A38977D"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HTTP Method</w:t>
            </w:r>
          </w:p>
        </w:tc>
        <w:tc>
          <w:tcPr>
            <w:tcW w:w="2880" w:type="dxa"/>
          </w:tcPr>
          <w:p w14:paraId="68187FE8"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Purpose</w:t>
            </w:r>
          </w:p>
        </w:tc>
        <w:tc>
          <w:tcPr>
            <w:tcW w:w="2880" w:type="dxa"/>
          </w:tcPr>
          <w:p w14:paraId="0EEFDDE5"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Legal Relevance</w:t>
            </w:r>
          </w:p>
        </w:tc>
      </w:tr>
      <w:tr w:rsidR="00EE53EF" w:rsidRPr="00EA2C79" w14:paraId="7E9ADEC7" w14:textId="77777777">
        <w:tc>
          <w:tcPr>
            <w:tcW w:w="2880" w:type="dxa"/>
          </w:tcPr>
          <w:p w14:paraId="2C66E73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GET</w:t>
            </w:r>
          </w:p>
        </w:tc>
        <w:tc>
          <w:tcPr>
            <w:tcW w:w="2880" w:type="dxa"/>
          </w:tcPr>
          <w:p w14:paraId="02C1871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Retrieve a resource</w:t>
            </w:r>
          </w:p>
        </w:tc>
        <w:tc>
          <w:tcPr>
            <w:tcW w:w="2880" w:type="dxa"/>
          </w:tcPr>
          <w:p w14:paraId="55677FB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Access logs show what content was requested and when</w:t>
            </w:r>
          </w:p>
        </w:tc>
      </w:tr>
      <w:tr w:rsidR="00EE53EF" w:rsidRPr="00EA2C79" w14:paraId="1CA5ED9F" w14:textId="77777777">
        <w:tc>
          <w:tcPr>
            <w:tcW w:w="2880" w:type="dxa"/>
          </w:tcPr>
          <w:p w14:paraId="1661669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POST</w:t>
            </w:r>
          </w:p>
        </w:tc>
        <w:tc>
          <w:tcPr>
            <w:tcW w:w="2880" w:type="dxa"/>
          </w:tcPr>
          <w:p w14:paraId="31A970B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Submit data to be processed</w:t>
            </w:r>
          </w:p>
        </w:tc>
        <w:tc>
          <w:tcPr>
            <w:tcW w:w="2880" w:type="dxa"/>
          </w:tcPr>
          <w:p w14:paraId="4C560FB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Form submissions, login credentials, payment data</w:t>
            </w:r>
          </w:p>
        </w:tc>
      </w:tr>
      <w:tr w:rsidR="00EE53EF" w:rsidRPr="00EA2C79" w14:paraId="46FBD034" w14:textId="77777777">
        <w:tc>
          <w:tcPr>
            <w:tcW w:w="2880" w:type="dxa"/>
          </w:tcPr>
          <w:p w14:paraId="2499B63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PUT</w:t>
            </w:r>
          </w:p>
        </w:tc>
        <w:tc>
          <w:tcPr>
            <w:tcW w:w="2880" w:type="dxa"/>
          </w:tcPr>
          <w:p w14:paraId="37EF4FF1"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Upload/replace a resource</w:t>
            </w:r>
          </w:p>
        </w:tc>
        <w:tc>
          <w:tcPr>
            <w:tcW w:w="2880" w:type="dxa"/>
          </w:tcPr>
          <w:p w14:paraId="72DA97B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Content uploads to servers</w:t>
            </w:r>
          </w:p>
        </w:tc>
      </w:tr>
      <w:tr w:rsidR="00EE53EF" w:rsidRPr="00EA2C79" w14:paraId="12BA6016" w14:textId="77777777">
        <w:tc>
          <w:tcPr>
            <w:tcW w:w="2880" w:type="dxa"/>
          </w:tcPr>
          <w:p w14:paraId="456F2AB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DELETE</w:t>
            </w:r>
          </w:p>
        </w:tc>
        <w:tc>
          <w:tcPr>
            <w:tcW w:w="2880" w:type="dxa"/>
          </w:tcPr>
          <w:p w14:paraId="54C58CE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Remove a resource</w:t>
            </w:r>
          </w:p>
        </w:tc>
        <w:tc>
          <w:tcPr>
            <w:tcW w:w="2880" w:type="dxa"/>
          </w:tcPr>
          <w:p w14:paraId="39BC955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Evidence of intentional data destruction</w:t>
            </w:r>
          </w:p>
        </w:tc>
      </w:tr>
      <w:tr w:rsidR="00EE53EF" w:rsidRPr="00EA2C79" w14:paraId="63A0B20C" w14:textId="77777777">
        <w:tc>
          <w:tcPr>
            <w:tcW w:w="2880" w:type="dxa"/>
          </w:tcPr>
          <w:p w14:paraId="1304DCEC"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PATCH</w:t>
            </w:r>
          </w:p>
        </w:tc>
        <w:tc>
          <w:tcPr>
            <w:tcW w:w="2880" w:type="dxa"/>
          </w:tcPr>
          <w:p w14:paraId="3C9C14A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Partial modification</w:t>
            </w:r>
          </w:p>
        </w:tc>
        <w:tc>
          <w:tcPr>
            <w:tcW w:w="2880" w:type="dxa"/>
          </w:tcPr>
          <w:p w14:paraId="4AD189C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Data alteration records</w:t>
            </w:r>
          </w:p>
        </w:tc>
      </w:tr>
    </w:tbl>
    <w:p w14:paraId="26DB6D1F"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2.3.3 HTTP Status Codes</w:t>
      </w:r>
    </w:p>
    <w:tbl>
      <w:tblPr>
        <w:tblStyle w:val="TableGrid"/>
        <w:tblW w:w="0" w:type="auto"/>
        <w:tblLook w:val="04A0" w:firstRow="1" w:lastRow="0" w:firstColumn="1" w:lastColumn="0" w:noHBand="0" w:noVBand="1"/>
      </w:tblPr>
      <w:tblGrid>
        <w:gridCol w:w="2160"/>
        <w:gridCol w:w="2160"/>
        <w:gridCol w:w="2160"/>
        <w:gridCol w:w="2160"/>
      </w:tblGrid>
      <w:tr w:rsidR="00EE53EF" w:rsidRPr="00EA2C79" w14:paraId="05258A1C" w14:textId="77777777">
        <w:tc>
          <w:tcPr>
            <w:tcW w:w="2160" w:type="dxa"/>
          </w:tcPr>
          <w:p w14:paraId="4AF61447"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Code</w:t>
            </w:r>
          </w:p>
        </w:tc>
        <w:tc>
          <w:tcPr>
            <w:tcW w:w="2160" w:type="dxa"/>
          </w:tcPr>
          <w:p w14:paraId="5D74D5B6"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Class</w:t>
            </w:r>
          </w:p>
        </w:tc>
        <w:tc>
          <w:tcPr>
            <w:tcW w:w="2160" w:type="dxa"/>
          </w:tcPr>
          <w:p w14:paraId="663792DD"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Meaning</w:t>
            </w:r>
          </w:p>
        </w:tc>
        <w:tc>
          <w:tcPr>
            <w:tcW w:w="2160" w:type="dxa"/>
          </w:tcPr>
          <w:p w14:paraId="7D0A09C3"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Example</w:t>
            </w:r>
          </w:p>
        </w:tc>
      </w:tr>
      <w:tr w:rsidR="00EE53EF" w:rsidRPr="00EA2C79" w14:paraId="286BCD20" w14:textId="77777777">
        <w:tc>
          <w:tcPr>
            <w:tcW w:w="2160" w:type="dxa"/>
          </w:tcPr>
          <w:p w14:paraId="0C3008D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1xx</w:t>
            </w:r>
          </w:p>
        </w:tc>
        <w:tc>
          <w:tcPr>
            <w:tcW w:w="2160" w:type="dxa"/>
          </w:tcPr>
          <w:p w14:paraId="29D03AE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Informational</w:t>
            </w:r>
          </w:p>
        </w:tc>
        <w:tc>
          <w:tcPr>
            <w:tcW w:w="2160" w:type="dxa"/>
          </w:tcPr>
          <w:p w14:paraId="3470BA7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Request received, processing</w:t>
            </w:r>
          </w:p>
        </w:tc>
        <w:tc>
          <w:tcPr>
            <w:tcW w:w="2160" w:type="dxa"/>
          </w:tcPr>
          <w:p w14:paraId="63AE151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101 Switching Protocols</w:t>
            </w:r>
          </w:p>
        </w:tc>
      </w:tr>
      <w:tr w:rsidR="00EE53EF" w:rsidRPr="00EA2C79" w14:paraId="6A7B6856" w14:textId="77777777">
        <w:tc>
          <w:tcPr>
            <w:tcW w:w="2160" w:type="dxa"/>
          </w:tcPr>
          <w:p w14:paraId="4AA9203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2xx</w:t>
            </w:r>
          </w:p>
        </w:tc>
        <w:tc>
          <w:tcPr>
            <w:tcW w:w="2160" w:type="dxa"/>
          </w:tcPr>
          <w:p w14:paraId="5544A9E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Success</w:t>
            </w:r>
          </w:p>
        </w:tc>
        <w:tc>
          <w:tcPr>
            <w:tcW w:w="2160" w:type="dxa"/>
          </w:tcPr>
          <w:p w14:paraId="4637D6C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Request understood</w:t>
            </w:r>
          </w:p>
        </w:tc>
        <w:tc>
          <w:tcPr>
            <w:tcW w:w="2160" w:type="dxa"/>
          </w:tcPr>
          <w:p w14:paraId="6738009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200 OK, 201 Created</w:t>
            </w:r>
          </w:p>
        </w:tc>
      </w:tr>
      <w:tr w:rsidR="00EE53EF" w:rsidRPr="00EA2C79" w14:paraId="6CE53BB7" w14:textId="77777777">
        <w:tc>
          <w:tcPr>
            <w:tcW w:w="2160" w:type="dxa"/>
          </w:tcPr>
          <w:p w14:paraId="1B5E900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3xx</w:t>
            </w:r>
          </w:p>
        </w:tc>
        <w:tc>
          <w:tcPr>
            <w:tcW w:w="2160" w:type="dxa"/>
          </w:tcPr>
          <w:p w14:paraId="15C7F56C"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Redirection</w:t>
            </w:r>
          </w:p>
        </w:tc>
        <w:tc>
          <w:tcPr>
            <w:tcW w:w="2160" w:type="dxa"/>
          </w:tcPr>
          <w:p w14:paraId="331EEF6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Further action needed</w:t>
            </w:r>
          </w:p>
        </w:tc>
        <w:tc>
          <w:tcPr>
            <w:tcW w:w="2160" w:type="dxa"/>
          </w:tcPr>
          <w:p w14:paraId="44D2FA9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301 Moved Permanently</w:t>
            </w:r>
          </w:p>
        </w:tc>
      </w:tr>
      <w:tr w:rsidR="00EE53EF" w:rsidRPr="00EA2C79" w14:paraId="524B656A" w14:textId="77777777">
        <w:tc>
          <w:tcPr>
            <w:tcW w:w="2160" w:type="dxa"/>
          </w:tcPr>
          <w:p w14:paraId="3130BDC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4xx</w:t>
            </w:r>
          </w:p>
        </w:tc>
        <w:tc>
          <w:tcPr>
            <w:tcW w:w="2160" w:type="dxa"/>
          </w:tcPr>
          <w:p w14:paraId="35EDADD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Client Error</w:t>
            </w:r>
          </w:p>
        </w:tc>
        <w:tc>
          <w:tcPr>
            <w:tcW w:w="2160" w:type="dxa"/>
          </w:tcPr>
          <w:p w14:paraId="7A3331E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Request cannot be fulfilled</w:t>
            </w:r>
          </w:p>
        </w:tc>
        <w:tc>
          <w:tcPr>
            <w:tcW w:w="2160" w:type="dxa"/>
          </w:tcPr>
          <w:p w14:paraId="190E3D1E"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400 Bad, 401 Unauthorized, 403 Forbidden, 404 Not Found</w:t>
            </w:r>
          </w:p>
        </w:tc>
      </w:tr>
      <w:tr w:rsidR="00EE53EF" w:rsidRPr="00EA2C79" w14:paraId="45011258" w14:textId="77777777">
        <w:tc>
          <w:tcPr>
            <w:tcW w:w="2160" w:type="dxa"/>
          </w:tcPr>
          <w:p w14:paraId="317E723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5xx</w:t>
            </w:r>
          </w:p>
        </w:tc>
        <w:tc>
          <w:tcPr>
            <w:tcW w:w="2160" w:type="dxa"/>
          </w:tcPr>
          <w:p w14:paraId="5AF0989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Server Error</w:t>
            </w:r>
          </w:p>
        </w:tc>
        <w:tc>
          <w:tcPr>
            <w:tcW w:w="2160" w:type="dxa"/>
          </w:tcPr>
          <w:p w14:paraId="5B1AFFA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Server failed</w:t>
            </w:r>
          </w:p>
        </w:tc>
        <w:tc>
          <w:tcPr>
            <w:tcW w:w="2160" w:type="dxa"/>
          </w:tcPr>
          <w:p w14:paraId="35CE438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500 Internal Server Error, 502 Bad Gateway</w:t>
            </w:r>
          </w:p>
        </w:tc>
      </w:tr>
    </w:tbl>
    <w:p w14:paraId="55298951"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2.3.4 Cookies and State Management</w:t>
      </w:r>
    </w:p>
    <w:p w14:paraId="3585CFF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HTTP is stateless. Cookies create stateful sessions via Set-Cookie (server to browser) and Cookie (browser to server). Legal significance: session hijacking via intercepted cookies is directly relevant to Computer Misuse Act §12 (unauthorised access) and §14 (access with intent).</w:t>
      </w:r>
    </w:p>
    <w:p w14:paraId="698884B5"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2.3.5 HTTPS and TLS</w:t>
      </w:r>
    </w:p>
    <w:p w14:paraId="3557FA4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HTTPS encrypts the entire HTTP message using TLS, providing encryption, authentication (digital certificates), and integrity.</w:t>
      </w:r>
    </w:p>
    <w:p w14:paraId="2B2B38BE" w14:textId="399B8B93" w:rsidR="00EE53EF" w:rsidRPr="00EA2C79" w:rsidRDefault="00000000" w:rsidP="003B6E3E">
      <w:pPr>
        <w:jc w:val="both"/>
        <w:rPr>
          <w:rFonts w:asciiTheme="minorHAnsi" w:hAnsiTheme="minorHAnsi"/>
          <w:szCs w:val="24"/>
        </w:rPr>
      </w:pPr>
      <w:r w:rsidRPr="00EA2C79">
        <w:rPr>
          <w:rFonts w:asciiTheme="minorHAnsi" w:hAnsiTheme="minorHAnsi"/>
          <w:szCs w:val="24"/>
        </w:rPr>
        <w:lastRenderedPageBreak/>
        <w:t>Critical note for lawful interception: Under RICA, interception requires a warrant (RICA §5). However, HTTPS means that even with a warrant, the content of the communication may remain encrypted and inaccessible unless the interceptor also obtains TLS session keys.</w:t>
      </w:r>
    </w:p>
    <w:p w14:paraId="342C91D6"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2.4 Web Applications and Cloud Services</w:t>
      </w:r>
    </w:p>
    <w:p w14:paraId="2CE39D27"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2.4.1 From Static Pages to Web Applications</w:t>
      </w:r>
    </w:p>
    <w:p w14:paraId="3310B5E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Modern web applications involve client-side processing (JavaScript), server-side processing (application servers, databases), and APIs (RESTful, GraphQL).</w:t>
      </w:r>
    </w:p>
    <w:p w14:paraId="231F9632"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2.4.2 Cloud Computing Models</w:t>
      </w:r>
    </w:p>
    <w:tbl>
      <w:tblPr>
        <w:tblStyle w:val="TableGrid"/>
        <w:tblW w:w="0" w:type="auto"/>
        <w:tblLook w:val="04A0" w:firstRow="1" w:lastRow="0" w:firstColumn="1" w:lastColumn="0" w:noHBand="0" w:noVBand="1"/>
      </w:tblPr>
      <w:tblGrid>
        <w:gridCol w:w="2160"/>
        <w:gridCol w:w="2160"/>
        <w:gridCol w:w="2160"/>
        <w:gridCol w:w="2160"/>
      </w:tblGrid>
      <w:tr w:rsidR="00EE53EF" w:rsidRPr="00EA2C79" w14:paraId="4EEDE0F0" w14:textId="77777777">
        <w:tc>
          <w:tcPr>
            <w:tcW w:w="2160" w:type="dxa"/>
          </w:tcPr>
          <w:p w14:paraId="0DD1BAE2"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Model</w:t>
            </w:r>
          </w:p>
        </w:tc>
        <w:tc>
          <w:tcPr>
            <w:tcW w:w="2160" w:type="dxa"/>
          </w:tcPr>
          <w:p w14:paraId="41FB24DA"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Description</w:t>
            </w:r>
          </w:p>
        </w:tc>
        <w:tc>
          <w:tcPr>
            <w:tcW w:w="2160" w:type="dxa"/>
          </w:tcPr>
          <w:p w14:paraId="5AC1943D"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Example</w:t>
            </w:r>
          </w:p>
        </w:tc>
        <w:tc>
          <w:tcPr>
            <w:tcW w:w="2160" w:type="dxa"/>
          </w:tcPr>
          <w:p w14:paraId="4F60C838"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Legal Implications</w:t>
            </w:r>
          </w:p>
        </w:tc>
      </w:tr>
      <w:tr w:rsidR="00EE53EF" w:rsidRPr="00EA2C79" w14:paraId="3BA606CF" w14:textId="77777777">
        <w:tc>
          <w:tcPr>
            <w:tcW w:w="2160" w:type="dxa"/>
          </w:tcPr>
          <w:p w14:paraId="16DB33C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IaaS</w:t>
            </w:r>
          </w:p>
        </w:tc>
        <w:tc>
          <w:tcPr>
            <w:tcW w:w="2160" w:type="dxa"/>
          </w:tcPr>
          <w:p w14:paraId="725F066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Virtualised computing resources</w:t>
            </w:r>
          </w:p>
        </w:tc>
        <w:tc>
          <w:tcPr>
            <w:tcW w:w="2160" w:type="dxa"/>
          </w:tcPr>
          <w:p w14:paraId="4286845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AWS EC2, Google Compute Engine</w:t>
            </w:r>
          </w:p>
        </w:tc>
        <w:tc>
          <w:tcPr>
            <w:tcW w:w="2160" w:type="dxa"/>
          </w:tcPr>
          <w:p w14:paraId="3D8F406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Customer controls OS; provider controls physical infrastructure</w:t>
            </w:r>
          </w:p>
        </w:tc>
      </w:tr>
      <w:tr w:rsidR="00EE53EF" w:rsidRPr="00EA2C79" w14:paraId="10BC7AFF" w14:textId="77777777">
        <w:tc>
          <w:tcPr>
            <w:tcW w:w="2160" w:type="dxa"/>
          </w:tcPr>
          <w:p w14:paraId="6B5FFBC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PaaS</w:t>
            </w:r>
          </w:p>
        </w:tc>
        <w:tc>
          <w:tcPr>
            <w:tcW w:w="2160" w:type="dxa"/>
          </w:tcPr>
          <w:p w14:paraId="5C4BE80C"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Platform for deploying applications</w:t>
            </w:r>
          </w:p>
        </w:tc>
        <w:tc>
          <w:tcPr>
            <w:tcW w:w="2160" w:type="dxa"/>
          </w:tcPr>
          <w:p w14:paraId="671208D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Google App Engine, Heroku</w:t>
            </w:r>
          </w:p>
        </w:tc>
        <w:tc>
          <w:tcPr>
            <w:tcW w:w="2160" w:type="dxa"/>
          </w:tcPr>
          <w:p w14:paraId="39EB3E2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Provider manages OS/runtime; customer manages app code</w:t>
            </w:r>
          </w:p>
        </w:tc>
      </w:tr>
      <w:tr w:rsidR="00EE53EF" w:rsidRPr="00EA2C79" w14:paraId="7D36ED49" w14:textId="77777777">
        <w:tc>
          <w:tcPr>
            <w:tcW w:w="2160" w:type="dxa"/>
          </w:tcPr>
          <w:p w14:paraId="29C742C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SaaS</w:t>
            </w:r>
          </w:p>
        </w:tc>
        <w:tc>
          <w:tcPr>
            <w:tcW w:w="2160" w:type="dxa"/>
          </w:tcPr>
          <w:p w14:paraId="5C59CAB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Ready-to-use software over web</w:t>
            </w:r>
          </w:p>
        </w:tc>
        <w:tc>
          <w:tcPr>
            <w:tcW w:w="2160" w:type="dxa"/>
          </w:tcPr>
          <w:p w14:paraId="7BC1F8E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Google Workspace, Microsoft 365</w:t>
            </w:r>
          </w:p>
        </w:tc>
        <w:tc>
          <w:tcPr>
            <w:tcW w:w="2160" w:type="dxa"/>
          </w:tcPr>
          <w:p w14:paraId="5B76F23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Provider controls everything; customer only uses the app</w:t>
            </w:r>
          </w:p>
        </w:tc>
      </w:tr>
    </w:tbl>
    <w:p w14:paraId="3F3A0A66"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2.4.3 Data Sovereignty and Cloud Jurisdiction</w:t>
      </w:r>
    </w:p>
    <w:p w14:paraId="30ADAEB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DPA §19 requires that where personal data is processed or stored outside Uganda, the recipient country must have adequate measures at least equivalent to the DPA, or the data subject must consent. A Ugandan company using AWS must verify adequacy of the host country or obtain explicit consent.</w:t>
      </w:r>
    </w:p>
    <w:p w14:paraId="12147D26" w14:textId="77777777" w:rsidR="00EE53EF" w:rsidRPr="00EA2C79" w:rsidRDefault="00EE53EF" w:rsidP="003B6E3E">
      <w:pPr>
        <w:jc w:val="both"/>
        <w:rPr>
          <w:rFonts w:asciiTheme="minorHAnsi" w:hAnsiTheme="minorHAnsi"/>
          <w:szCs w:val="24"/>
        </w:rPr>
      </w:pPr>
    </w:p>
    <w:p w14:paraId="3711C60A"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2.5 Uganda's Regulatory Framework for the Internet</w:t>
      </w:r>
    </w:p>
    <w:p w14:paraId="3FE7400E"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2.5.1 The Uganda Communications Act (UCA) and UCC</w:t>
      </w:r>
    </w:p>
    <w:p w14:paraId="25912B6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UCC is the primary regulator of communications services under the Uganda Communications Act, 2013. Powers include ISP licensing, content regulation (Content Regulations 2019), consumer protection (Consumer Protection Regulations 2019), quality of service monitoring, and equipment type approval.</w:t>
      </w:r>
    </w:p>
    <w:p w14:paraId="4D3C0CB4" w14:textId="77777777" w:rsidR="00244030" w:rsidRPr="00EA2C79" w:rsidRDefault="00000000">
      <w:pPr>
        <w:pStyle w:val="Heading3"/>
        <w:rPr>
          <w:rFonts w:asciiTheme="minorHAnsi" w:hAnsiTheme="minorHAnsi"/>
        </w:rPr>
      </w:pPr>
      <w:r w:rsidRPr="00EA2C79">
        <w:rPr>
          <w:rFonts w:asciiTheme="minorHAnsi" w:hAnsiTheme="minorHAnsi"/>
        </w:rPr>
        <w:lastRenderedPageBreak/>
        <w:t>2.5.1A UCC Licensing Regulations, 2019 — Relevance to Internet Architecture</w:t>
      </w:r>
    </w:p>
    <w:p w14:paraId="13C024E4" w14:textId="77777777" w:rsidR="00244030" w:rsidRPr="00EA2C79" w:rsidRDefault="00000000">
      <w:pPr>
        <w:rPr>
          <w:rFonts w:asciiTheme="minorHAnsi" w:hAnsiTheme="minorHAnsi"/>
        </w:rPr>
      </w:pPr>
      <w:r w:rsidRPr="00EA2C79">
        <w:rPr>
          <w:rFonts w:asciiTheme="minorHAnsi" w:hAnsiTheme="minorHAnsi"/>
        </w:rPr>
        <w:t>The Uganda Communications (Licensing) Regulations, 2019 (S.I. No. 95) operationalise UCC's licensing mandate under the Uganda Communications Act, 2013. For Week 2 purposes, the following provisions are most relevant to internet architecture:</w:t>
      </w:r>
    </w:p>
    <w:p w14:paraId="4D540DF4" w14:textId="77777777" w:rsidR="00244030" w:rsidRPr="00EA2C79" w:rsidRDefault="00000000">
      <w:pPr>
        <w:rPr>
          <w:rFonts w:asciiTheme="minorHAnsi" w:hAnsiTheme="minorHAnsi"/>
        </w:rPr>
      </w:pPr>
      <w:r w:rsidRPr="00EA2C79">
        <w:rPr>
          <w:rFonts w:asciiTheme="minorHAnsi" w:hAnsiTheme="minorHAnsi"/>
        </w:rPr>
        <w:t>Prohibition of unlicensed activity (Reg. 6): No person may operate a communications system or provide communications services without a licence. This covers ISPs, OTT platforms, and any entity transmitting data over the internet.</w:t>
      </w:r>
    </w:p>
    <w:p w14:paraId="2CA81C4A" w14:textId="77777777" w:rsidR="00244030" w:rsidRPr="00EA2C79" w:rsidRDefault="00000000">
      <w:pPr>
        <w:rPr>
          <w:rFonts w:asciiTheme="minorHAnsi" w:hAnsiTheme="minorHAnsi"/>
        </w:rPr>
      </w:pPr>
      <w:r w:rsidRPr="00EA2C79">
        <w:rPr>
          <w:rFonts w:asciiTheme="minorHAnsi" w:hAnsiTheme="minorHAnsi"/>
        </w:rPr>
        <w:t>Licence categories and network layer control (Part II, Reg. 7): Infrastructure Providers (NPIP/RPIP) own and operate physical network infrastructure (cables, data centres, towers) — corresponding to Layers 1–2 (Physical and Link) of the TCP/IP model. Service Providers (NPSP/RPSP) and Service Only Providers deliver services over leased infrastructure — operating at Layers 3–5 (Network, Transport, Application). Only infrastructure licensees and NTOs are eligible for spectrum.</w:t>
      </w:r>
    </w:p>
    <w:p w14:paraId="485203C5" w14:textId="77777777" w:rsidR="00244030" w:rsidRPr="00EA2C79" w:rsidRDefault="00000000">
      <w:pPr>
        <w:rPr>
          <w:rFonts w:asciiTheme="minorHAnsi" w:hAnsiTheme="minorHAnsi"/>
        </w:rPr>
      </w:pPr>
      <w:r w:rsidRPr="00EA2C79">
        <w:rPr>
          <w:rFonts w:asciiTheme="minorHAnsi" w:hAnsiTheme="minorHAnsi"/>
        </w:rPr>
        <w:t>Value Added Services (Part VII, Reg. 83–86): VAS includes mobile money, content distribution, and internet-based application services. VAS providers require a licence unless exempted (Reg. 86). This classification is directly relevant to whether OTT platforms (WhatsApp, Netflix, Zoom) fall within UCC's regulatory scope.</w:t>
      </w:r>
    </w:p>
    <w:p w14:paraId="0D6781F3" w14:textId="77777777" w:rsidR="00244030" w:rsidRPr="00EA2C79" w:rsidRDefault="00000000">
      <w:pPr>
        <w:rPr>
          <w:rFonts w:asciiTheme="minorHAnsi" w:hAnsiTheme="minorHAnsi"/>
        </w:rPr>
      </w:pPr>
      <w:r w:rsidRPr="00EA2C79">
        <w:rPr>
          <w:rFonts w:asciiTheme="minorHAnsi" w:hAnsiTheme="minorHAnsi"/>
        </w:rPr>
        <w:t>Licence conditions affecting internet services (Reg. 97–98): All licences are granted subject to terms and conditions, which typically include: network security obligations and data protection standards; lawful interception facilitation requirements (linking to RICA); consumer information protection; and content regulation compliance.</w:t>
      </w:r>
    </w:p>
    <w:p w14:paraId="56F0F189" w14:textId="77777777" w:rsidR="00244030" w:rsidRPr="00EA2C79" w:rsidRDefault="00000000">
      <w:pPr>
        <w:rPr>
          <w:rFonts w:asciiTheme="minorHAnsi" w:hAnsiTheme="minorHAnsi"/>
        </w:rPr>
      </w:pPr>
      <w:r w:rsidRPr="00EA2C79">
        <w:rPr>
          <w:rFonts w:asciiTheme="minorHAnsi" w:hAnsiTheme="minorHAnsi"/>
        </w:rPr>
        <w:t>Enforcement powers (Part VIII): Financial penalty of up to 10% of the licensee's annual turnover for breach of conditions (Reg. 105(10)(c)). Suspension or revocation for serious or repeated breach, fraud, or where the operator's platform is used for prohibited content (Reg. 104, 110). Confiscation of unlawfully operated equipment (Reg. 112).</w:t>
      </w:r>
    </w:p>
    <w:p w14:paraId="746EFFB0" w14:textId="77777777" w:rsidR="00244030" w:rsidRPr="00EA2C79" w:rsidRDefault="00000000">
      <w:pPr>
        <w:rPr>
          <w:rFonts w:asciiTheme="minorHAnsi" w:hAnsiTheme="minorHAnsi"/>
        </w:rPr>
      </w:pPr>
      <w:r w:rsidRPr="00EA2C79">
        <w:rPr>
          <w:rFonts w:asciiTheme="minorHAnsi" w:hAnsiTheme="minorHAnsi"/>
        </w:rPr>
        <w:t>Connection to Week 2 Topics:</w:t>
      </w:r>
    </w:p>
    <w:p w14:paraId="61540ADB" w14:textId="77777777" w:rsidR="00244030" w:rsidRPr="00EA2C79" w:rsidRDefault="00000000">
      <w:pPr>
        <w:rPr>
          <w:rFonts w:asciiTheme="minorHAnsi" w:hAnsiTheme="minorHAnsi"/>
        </w:rPr>
      </w:pPr>
      <w:r w:rsidRPr="00EA2C79">
        <w:rPr>
          <w:rFonts w:asciiTheme="minorHAnsi" w:hAnsiTheme="minorHAnsi"/>
        </w:rPr>
        <w:t>| Curriculum Section | Relevance of Licensing Regulations |</w:t>
      </w:r>
    </w:p>
    <w:p w14:paraId="70316094" w14:textId="77777777" w:rsidR="00244030" w:rsidRPr="00EA2C79" w:rsidRDefault="00000000">
      <w:pPr>
        <w:rPr>
          <w:rFonts w:asciiTheme="minorHAnsi" w:hAnsiTheme="minorHAnsi"/>
        </w:rPr>
      </w:pPr>
      <w:r w:rsidRPr="00EA2C79">
        <w:rPr>
          <w:rFonts w:asciiTheme="minorHAnsi" w:hAnsiTheme="minorHAnsi"/>
        </w:rPr>
        <w:t>| §2.1 TCP/IP Model | Licence type determines network layer control: infrastructure licences cover Layers 1–2 (physical equipment); service licences cover Layers 3–5 (data services) |</w:t>
      </w:r>
    </w:p>
    <w:p w14:paraId="3152F29F" w14:textId="77777777" w:rsidR="00244030" w:rsidRPr="00EA2C79" w:rsidRDefault="00000000">
      <w:pPr>
        <w:rPr>
          <w:rFonts w:asciiTheme="minorHAnsi" w:hAnsiTheme="minorHAnsi"/>
        </w:rPr>
      </w:pPr>
      <w:r w:rsidRPr="00EA2C79">
        <w:rPr>
          <w:rFonts w:asciiTheme="minorHAnsi" w:hAnsiTheme="minorHAnsi"/>
        </w:rPr>
        <w:lastRenderedPageBreak/>
        <w:t>| §2.2 DNS / .ug ccTLD | Only licensed ISPs may operate DNS servers; .ug domain administration derives from UCC's licensing authority |</w:t>
      </w:r>
    </w:p>
    <w:p w14:paraId="5632841E" w14:textId="77777777" w:rsidR="00244030" w:rsidRPr="00EA2C79" w:rsidRDefault="00000000">
      <w:pPr>
        <w:rPr>
          <w:rFonts w:asciiTheme="minorHAnsi" w:hAnsiTheme="minorHAnsi"/>
        </w:rPr>
      </w:pPr>
      <w:r w:rsidRPr="00EA2C79">
        <w:rPr>
          <w:rFonts w:asciiTheme="minorHAnsi" w:hAnsiTheme="minorHAnsi"/>
        </w:rPr>
        <w:t>| §2.3 HTTP/HTTPS | Licence conditions impose security and data protection obligations on how web traffic is handled |</w:t>
      </w:r>
    </w:p>
    <w:p w14:paraId="6B03623D" w14:textId="77777777" w:rsidR="00244030" w:rsidRPr="00EA2C79" w:rsidRDefault="00000000">
      <w:pPr>
        <w:rPr>
          <w:rFonts w:asciiTheme="minorHAnsi" w:hAnsiTheme="minorHAnsi"/>
        </w:rPr>
      </w:pPr>
      <w:r w:rsidRPr="00EA2C79">
        <w:rPr>
          <w:rFonts w:asciiTheme="minorHAnsi" w:hAnsiTheme="minorHAnsi"/>
        </w:rPr>
        <w:t>| §2.4 Cloud/Web Apps | Cloud services and data centres may require infrastructure or VAS licences depending on their service model (IaaS/PaaS/SaaS) |</w:t>
      </w:r>
    </w:p>
    <w:p w14:paraId="7BDCBB36" w14:textId="77777777" w:rsidR="00244030" w:rsidRPr="00EA2C79" w:rsidRDefault="00000000">
      <w:pPr>
        <w:rPr>
          <w:rFonts w:asciiTheme="minorHAnsi" w:hAnsiTheme="minorHAnsi"/>
        </w:rPr>
      </w:pPr>
      <w:r w:rsidRPr="00EA2C79">
        <w:rPr>
          <w:rFonts w:asciiTheme="minorHAnsi" w:hAnsiTheme="minorHAnsi"/>
        </w:rPr>
        <w:t>| §2.5.2–2.5.3 Content &amp; Consumer Protection | Licensing is the gateway — only licensed operators are subject to these regulations |</w:t>
      </w:r>
    </w:p>
    <w:p w14:paraId="5E070CF6" w14:textId="77777777" w:rsidR="00244030" w:rsidRPr="00EA2C79" w:rsidRDefault="00000000">
      <w:pPr>
        <w:rPr>
          <w:rFonts w:asciiTheme="minorHAnsi" w:hAnsiTheme="minorHAnsi"/>
        </w:rPr>
      </w:pPr>
      <w:r w:rsidRPr="00EA2C79">
        <w:rPr>
          <w:rFonts w:asciiTheme="minorHAnsi" w:hAnsiTheme="minorHAnsi"/>
        </w:rPr>
        <w:t>| §2.6.1 OTT Regulation | The VAS classification (Part VII) determines whether OTT platforms need a licence |</w:t>
      </w:r>
    </w:p>
    <w:p w14:paraId="4F892D6E" w14:textId="77777777" w:rsidR="00244030" w:rsidRPr="00EA2C79" w:rsidRDefault="00000000">
      <w:pPr>
        <w:rPr>
          <w:rFonts w:asciiTheme="minorHAnsi" w:hAnsiTheme="minorHAnsi"/>
        </w:rPr>
      </w:pPr>
      <w:r w:rsidRPr="00EA2C79">
        <w:rPr>
          <w:rFonts w:asciiTheme="minorHAnsi" w:hAnsiTheme="minorHAnsi"/>
        </w:rPr>
        <w:t>| §2.7 Practice Task | Consider: Does the ISP hold a valid licence? Were licence conditions on network security breached? |</w:t>
      </w:r>
    </w:p>
    <w:p w14:paraId="5CA0BCA9" w14:textId="77777777" w:rsidR="00244030" w:rsidRPr="00EA2C79" w:rsidRDefault="00000000">
      <w:pPr>
        <w:rPr>
          <w:rFonts w:asciiTheme="minorHAnsi" w:hAnsiTheme="minorHAnsi"/>
        </w:rPr>
      </w:pPr>
      <w:r w:rsidRPr="00EA2C79">
        <w:rPr>
          <w:rFonts w:asciiTheme="minorHAnsi" w:hAnsiTheme="minorHAnsi"/>
        </w:rPr>
        <w:t>Fees relevant to ISPs and internet service operators (UCC Fees and Fines Regulations, S.I. No. 94, as amended):</w:t>
      </w:r>
    </w:p>
    <w:p w14:paraId="1D728839" w14:textId="77777777" w:rsidR="00244030" w:rsidRPr="00EA2C79" w:rsidRDefault="00000000">
      <w:pPr>
        <w:rPr>
          <w:rFonts w:asciiTheme="minorHAnsi" w:hAnsiTheme="minorHAnsi"/>
        </w:rPr>
      </w:pPr>
      <w:r w:rsidRPr="00EA2C79">
        <w:rPr>
          <w:rFonts w:asciiTheme="minorHAnsi" w:hAnsiTheme="minorHAnsi"/>
        </w:rPr>
        <w:t>| Licence Category | Application Fee | Annual Licence Fee (minimum) |</w:t>
      </w:r>
    </w:p>
    <w:p w14:paraId="4DE0AA9A" w14:textId="77777777" w:rsidR="00244030" w:rsidRPr="00EA2C79" w:rsidRDefault="00000000">
      <w:pPr>
        <w:rPr>
          <w:rFonts w:asciiTheme="minorHAnsi" w:hAnsiTheme="minorHAnsi"/>
        </w:rPr>
      </w:pPr>
      <w:r w:rsidRPr="00EA2C79">
        <w:rPr>
          <w:rFonts w:asciiTheme="minorHAnsi" w:hAnsiTheme="minorHAnsi"/>
        </w:rPr>
        <w:t>| Infrastructure Provider (National/Regional) | USD 2,500 | USD 9,900–60,000 or 0.89% of gross annual revenue |</w:t>
      </w:r>
    </w:p>
    <w:p w14:paraId="3EFDC31E" w14:textId="77777777" w:rsidR="00244030" w:rsidRPr="00EA2C79" w:rsidRDefault="00000000">
      <w:pPr>
        <w:rPr>
          <w:rFonts w:asciiTheme="minorHAnsi" w:hAnsiTheme="minorHAnsi"/>
        </w:rPr>
      </w:pPr>
      <w:r w:rsidRPr="00EA2C79">
        <w:rPr>
          <w:rFonts w:asciiTheme="minorHAnsi" w:hAnsiTheme="minorHAnsi"/>
        </w:rPr>
        <w:t>| Service Provider (National/Regional) | USD 2,500 | USD 3,300–20,000 or 0.89% of revenue |</w:t>
      </w:r>
    </w:p>
    <w:p w14:paraId="28332254" w14:textId="77777777" w:rsidR="00244030" w:rsidRPr="00EA2C79" w:rsidRDefault="00000000">
      <w:pPr>
        <w:rPr>
          <w:rFonts w:asciiTheme="minorHAnsi" w:hAnsiTheme="minorHAnsi"/>
        </w:rPr>
      </w:pPr>
      <w:r w:rsidRPr="00EA2C79">
        <w:rPr>
          <w:rFonts w:asciiTheme="minorHAnsi" w:hAnsiTheme="minorHAnsi"/>
        </w:rPr>
        <w:t>| Value Added Service | As prescribed | As prescribed by Commission |</w:t>
      </w:r>
    </w:p>
    <w:p w14:paraId="4CB8AE7B" w14:textId="77777777" w:rsidR="00244030" w:rsidRPr="00EA2C79" w:rsidRDefault="00000000">
      <w:pPr>
        <w:rPr>
          <w:rFonts w:asciiTheme="minorHAnsi" w:hAnsiTheme="minorHAnsi"/>
        </w:rPr>
      </w:pPr>
      <w:r w:rsidRPr="00EA2C79">
        <w:rPr>
          <w:rFonts w:asciiTheme="minorHAnsi" w:hAnsiTheme="minorHAnsi"/>
        </w:rPr>
        <w:t>Additional fees include: initial entry fee (one-off, USD 25,000–100,000 for infrastructure operators), spectrum reservation fee, licence transfer fee (2.5% of gross annual revenue or USD 50,000), annual levy of 2% of gross annual earnings, and late payment interest of 2% per month after 90 days. Fines under the Regulations are set in currency points (1 point = UGX 20,000), with offences attracting up to 48 points (UGX 960,000) or 24 months imprisonment.</w:t>
      </w:r>
    </w:p>
    <w:p w14:paraId="640A86D6" w14:textId="77777777" w:rsidR="00244030" w:rsidRPr="00EA2C79" w:rsidRDefault="00000000">
      <w:pPr>
        <w:rPr>
          <w:rFonts w:asciiTheme="minorHAnsi" w:hAnsiTheme="minorHAnsi"/>
        </w:rPr>
      </w:pPr>
      <w:r w:rsidRPr="00EA2C79">
        <w:rPr>
          <w:rFonts w:asciiTheme="minorHAnsi" w:hAnsiTheme="minorHAnsi"/>
        </w:rPr>
        <w:t>The licensing framework is relevant to legal practice because the type of licence determines the legal obligations an internet service operator owes — including network security standards, consumer protection duties, content regulation compliance, lawful interception obligations, and data protection requirements.</w:t>
      </w:r>
    </w:p>
    <w:p w14:paraId="02E3BE00" w14:textId="77777777" w:rsidR="00244030" w:rsidRPr="00EA2C79" w:rsidRDefault="00000000">
      <w:pPr>
        <w:rPr>
          <w:rFonts w:asciiTheme="minorHAnsi" w:hAnsiTheme="minorHAnsi"/>
        </w:rPr>
      </w:pPr>
      <w:r w:rsidRPr="00EA2C79">
        <w:rPr>
          <w:rFonts w:asciiTheme="minorHAnsi" w:hAnsiTheme="minorHAnsi"/>
        </w:rPr>
        <w:t xml:space="preserve">The UCC Licensing Regulations represent one of several regulatory models for authorising communications services. A comparative analysis of Uganda, Kenya, the </w:t>
      </w:r>
      <w:r w:rsidRPr="00EA2C79">
        <w:rPr>
          <w:rFonts w:asciiTheme="minorHAnsi" w:hAnsiTheme="minorHAnsi"/>
        </w:rPr>
        <w:lastRenderedPageBreak/>
        <w:t>UK/EU, and the United States reveals fundamentally different approaches to who must be licensed and at what cost, with direct implications for internet architecture and the legal obligations of service providers.</w:t>
      </w:r>
    </w:p>
    <w:p w14:paraId="75FCBBF2" w14:textId="77777777" w:rsidR="00244030" w:rsidRPr="00EA2C79" w:rsidRDefault="00000000">
      <w:pPr>
        <w:rPr>
          <w:rFonts w:asciiTheme="minorHAnsi" w:hAnsiTheme="minorHAnsi"/>
        </w:rPr>
      </w:pPr>
      <w:r w:rsidRPr="00EA2C79">
        <w:rPr>
          <w:rFonts w:asciiTheme="minorHAnsi" w:hAnsiTheme="minorHAnsi"/>
        </w:rPr>
        <w:t>Uganda (Person-Based Licensing):</w:t>
      </w:r>
    </w:p>
    <w:p w14:paraId="7BC32AB9" w14:textId="77777777" w:rsidR="00244030" w:rsidRPr="00EA2C79" w:rsidRDefault="00000000">
      <w:pPr>
        <w:rPr>
          <w:rFonts w:asciiTheme="minorHAnsi" w:hAnsiTheme="minorHAnsi"/>
        </w:rPr>
      </w:pPr>
      <w:r w:rsidRPr="00EA2C79">
        <w:rPr>
          <w:rFonts w:asciiTheme="minorHAnsi" w:hAnsiTheme="minorHAnsi"/>
        </w:rPr>
        <w:t>The UCC model requires any person offering a communications service to hold an individual licence granted by the Commission (S.I. No. 95, Reg. 6). Licence categories are tied to the type of service and network layer: Infrastructure Providers (Layers 1-2), Service Providers (Layers 3-5), and Value Added Service providers (application layer). Annual fees range from USD 3,300 (Regional Service Provider) to USD 60,000 (National Infrastructure Provider), plus a 0.89% levy on gross annual revenue. The same framework applies regardless of scale - a neighbourhood hotspot operator falls under obligations equivalent to MTN Uganda's. Enforcement powers include financial penalties (up to 10% of annual turnover), suspension, revocation, and confiscation of apparatus (Reg. 105, 110, 112).</w:t>
      </w:r>
    </w:p>
    <w:p w14:paraId="094AFD10" w14:textId="77777777" w:rsidR="00244030" w:rsidRPr="00EA2C79" w:rsidRDefault="00000000">
      <w:pPr>
        <w:rPr>
          <w:rFonts w:asciiTheme="minorHAnsi" w:hAnsiTheme="minorHAnsi"/>
        </w:rPr>
      </w:pPr>
      <w:r w:rsidRPr="00EA2C79">
        <w:rPr>
          <w:rFonts w:asciiTheme="minorHAnsi" w:hAnsiTheme="minorHAnsi"/>
        </w:rPr>
        <w:t>Kenya (Tiered Licensing - Unified Licensing Framework):</w:t>
      </w:r>
    </w:p>
    <w:p w14:paraId="1CDAFA0C" w14:textId="77777777" w:rsidR="00244030" w:rsidRPr="00EA2C79" w:rsidRDefault="00000000">
      <w:pPr>
        <w:rPr>
          <w:rFonts w:asciiTheme="minorHAnsi" w:hAnsiTheme="minorHAnsi"/>
        </w:rPr>
      </w:pPr>
      <w:r w:rsidRPr="00EA2C79">
        <w:rPr>
          <w:rFonts w:asciiTheme="minorHAnsi" w:hAnsiTheme="minorHAnsi"/>
        </w:rPr>
        <w:t>Kenya's Communications Authority (CAK) operates a Unified Licensing Framework (ULF) with three authorisation classes: Network Facility Provider (NFP) - physical infrastructure at Layers 1-2; Application Service Provider (ASP) - internet, voice, data services. National ASP: KES 100,000/year (~USD 770). Micro ASP: KES 10,000-50,000/year (~USD 77-385); Content Service Provider (CSP) - content and broadcasting services; and Public Communication Access Class (PCAC) - self-registration for public Wi-Fi, cybercafes, and telecentres with no individual licence fee. The tiered structure explicitly accommodates operators of different scales under Kenya's ICT Policy (2016, rev. 2019).</w:t>
      </w:r>
    </w:p>
    <w:p w14:paraId="17B770C9" w14:textId="77777777" w:rsidR="00244030" w:rsidRPr="00EA2C79" w:rsidRDefault="00000000">
      <w:pPr>
        <w:rPr>
          <w:rFonts w:asciiTheme="minorHAnsi" w:hAnsiTheme="minorHAnsi"/>
        </w:rPr>
      </w:pPr>
      <w:r w:rsidRPr="00EA2C79">
        <w:rPr>
          <w:rFonts w:asciiTheme="minorHAnsi" w:hAnsiTheme="minorHAnsi"/>
        </w:rPr>
        <w:t>UK and European Union (General Authorisation / Class Licensing):</w:t>
      </w:r>
    </w:p>
    <w:p w14:paraId="736E7B00" w14:textId="77777777" w:rsidR="00244030" w:rsidRPr="00EA2C79" w:rsidRDefault="00000000">
      <w:pPr>
        <w:rPr>
          <w:rFonts w:asciiTheme="minorHAnsi" w:hAnsiTheme="minorHAnsi"/>
        </w:rPr>
      </w:pPr>
      <w:r w:rsidRPr="00EA2C79">
        <w:rPr>
          <w:rFonts w:asciiTheme="minorHAnsi" w:hAnsiTheme="minorHAnsi"/>
        </w:rPr>
        <w:t>The UK and EU operate a General Authorisation regime under the UK Electronic Communications Code and the European Electronic Communications Code (Directive 2018/1972/EU). No person requires an individual licence; any person may provide electronic communications networks or services upon filing a simple notification (free of charge) with the national regulator (Ofcom in the UK). Ofcom's General Conditions of Entitlement are applied proportionately - micro-entities (&lt;10 employees, turnover &lt;EUR 2M) may be exempted from certain conditions (Art. 12(4), Directive 2018/1972). Regulators focus on competition, consumer protection, and spectrum management - not on authorising individual operators.</w:t>
      </w:r>
    </w:p>
    <w:p w14:paraId="7071A0BD" w14:textId="77777777" w:rsidR="00244030" w:rsidRPr="00EA2C79" w:rsidRDefault="00000000">
      <w:pPr>
        <w:rPr>
          <w:rFonts w:asciiTheme="minorHAnsi" w:hAnsiTheme="minorHAnsi"/>
        </w:rPr>
      </w:pPr>
      <w:r w:rsidRPr="00EA2C79">
        <w:rPr>
          <w:rFonts w:asciiTheme="minorHAnsi" w:hAnsiTheme="minorHAnsi"/>
        </w:rPr>
        <w:t>United States (Equipment-Based Regulation - No Service Licensing):</w:t>
      </w:r>
    </w:p>
    <w:p w14:paraId="523068AC" w14:textId="77777777" w:rsidR="00244030" w:rsidRPr="00EA2C79" w:rsidRDefault="00000000">
      <w:pPr>
        <w:rPr>
          <w:rFonts w:asciiTheme="minorHAnsi" w:hAnsiTheme="minorHAnsi"/>
        </w:rPr>
      </w:pPr>
      <w:r w:rsidRPr="00EA2C79">
        <w:rPr>
          <w:rFonts w:asciiTheme="minorHAnsi" w:hAnsiTheme="minorHAnsi"/>
        </w:rPr>
        <w:lastRenderedPageBreak/>
        <w:t>The United States does not require a licence to provide internet access services or operate a Wi-Fi hotspot. The Communications Act of 1934 (as amended) does not create a licensing category for 'internet service provider' or 'internet access reseller.' The FCC regulates equipment through Part 15 certification (routers, access points) - once certified, any person may buy and operate the device without further authorisation. Licence-exempt spectrum bands (2.4 GHz, 5 GHz, 6 GHz) are designated for unlicensed Wi-Fi use. State-level franchise requirements apply to wireline infrastructure but not to Wi-Fi resale. The only restriction on reselling internet access comes from the ISP's terms of service (a private contract law issue), not from regulatory licensing.</w:t>
      </w:r>
    </w:p>
    <w:p w14:paraId="262C6B9F" w14:textId="77777777" w:rsidR="00244030" w:rsidRPr="00EA2C79" w:rsidRDefault="00000000">
      <w:pPr>
        <w:rPr>
          <w:rFonts w:asciiTheme="minorHAnsi" w:hAnsiTheme="minorHAnsi"/>
        </w:rPr>
      </w:pPr>
      <w:r w:rsidRPr="00EA2C79">
        <w:rPr>
          <w:rFonts w:asciiTheme="minorHAnsi" w:hAnsiTheme="minorHAnsi"/>
        </w:rPr>
        <w:t>Summary of approaches:</w:t>
      </w:r>
    </w:p>
    <w:p w14:paraId="11298423" w14:textId="77777777" w:rsidR="00244030" w:rsidRPr="00EA2C79" w:rsidRDefault="00000000">
      <w:pPr>
        <w:rPr>
          <w:rFonts w:asciiTheme="minorHAnsi" w:hAnsiTheme="minorHAnsi"/>
        </w:rPr>
      </w:pPr>
      <w:r w:rsidRPr="00EA2C79">
        <w:rPr>
          <w:rFonts w:asciiTheme="minorHAnsi" w:hAnsiTheme="minorHAnsi"/>
        </w:rPr>
        <w:t>| Aspect | Uganda | Kenya | UK/EU | United States |</w:t>
      </w:r>
    </w:p>
    <w:p w14:paraId="00BEF03C" w14:textId="77777777" w:rsidR="00244030" w:rsidRPr="00EA2C79" w:rsidRDefault="00000000">
      <w:pPr>
        <w:rPr>
          <w:rFonts w:asciiTheme="minorHAnsi" w:hAnsiTheme="minorHAnsi"/>
        </w:rPr>
      </w:pPr>
      <w:r w:rsidRPr="00EA2C79">
        <w:rPr>
          <w:rFonts w:asciiTheme="minorHAnsi" w:hAnsiTheme="minorHAnsi"/>
        </w:rPr>
        <w:t>| Licensing model | Individual licence (S.I. 95) | Tiered licences + class registration (ULF) | General Authorisation (free notification) | No ISP licence required |</w:t>
      </w:r>
    </w:p>
    <w:p w14:paraId="3812E625" w14:textId="77777777" w:rsidR="00244030" w:rsidRPr="00EA2C79" w:rsidRDefault="00000000">
      <w:pPr>
        <w:rPr>
          <w:rFonts w:asciiTheme="minorHAnsi" w:hAnsiTheme="minorHAnsi"/>
        </w:rPr>
      </w:pPr>
      <w:r w:rsidRPr="00EA2C79">
        <w:rPr>
          <w:rFonts w:asciiTheme="minorHAnsi" w:hAnsiTheme="minorHAnsi"/>
        </w:rPr>
        <w:t>| Who needs a licence? | Anyone offering a communications service | Varies by scale: NFP/ASP/CSP/PCAC | Anyone providing electronic communications (free) | No one (for ISP or Wi-Fi service) |</w:t>
      </w:r>
    </w:p>
    <w:p w14:paraId="4813E3B2" w14:textId="77777777" w:rsidR="00244030" w:rsidRPr="00EA2C79" w:rsidRDefault="00000000">
      <w:pPr>
        <w:rPr>
          <w:rFonts w:asciiTheme="minorHAnsi" w:hAnsiTheme="minorHAnsi"/>
        </w:rPr>
      </w:pPr>
      <w:r w:rsidRPr="00EA2C79">
        <w:rPr>
          <w:rFonts w:asciiTheme="minorHAnsi" w:hAnsiTheme="minorHAnsi"/>
        </w:rPr>
        <w:t>| Entry cost | USD 3,300-60,000/year + 0.89% revenue levy | KES 10,000-100,000/year (ASP); free (PCAC) | Free (notification only) | Free |</w:t>
      </w:r>
    </w:p>
    <w:p w14:paraId="3E130931" w14:textId="77777777" w:rsidR="00244030" w:rsidRPr="00EA2C79" w:rsidRDefault="00000000">
      <w:pPr>
        <w:rPr>
          <w:rFonts w:asciiTheme="minorHAnsi" w:hAnsiTheme="minorHAnsi"/>
        </w:rPr>
      </w:pPr>
      <w:r w:rsidRPr="00EA2C79">
        <w:rPr>
          <w:rFonts w:asciiTheme="minorHAnsi" w:hAnsiTheme="minorHAnsi"/>
        </w:rPr>
        <w:t>| Equipment regulation | Type approval (separate process) | Type approval (separate process) | CE marking / RED Directive | FCC Part 15 certification |</w:t>
      </w:r>
    </w:p>
    <w:p w14:paraId="7B547B5B" w14:textId="77777777" w:rsidR="00244030" w:rsidRPr="00EA2C79" w:rsidRDefault="00000000">
      <w:pPr>
        <w:rPr>
          <w:rFonts w:asciiTheme="minorHAnsi" w:hAnsiTheme="minorHAnsi"/>
        </w:rPr>
      </w:pPr>
      <w:r w:rsidRPr="00EA2C79">
        <w:rPr>
          <w:rFonts w:asciiTheme="minorHAnsi" w:hAnsiTheme="minorHAnsi"/>
        </w:rPr>
        <w:t>| Enforcement focus | Licensed vs. unlicensed operators | Compliance within tier | Competition, consumer protection, spectrum | Equipment interference, anti-competitive conduct |</w:t>
      </w:r>
    </w:p>
    <w:p w14:paraId="730D5B1A" w14:textId="77777777" w:rsidR="00244030" w:rsidRPr="00EA2C79" w:rsidRDefault="00000000">
      <w:pPr>
        <w:rPr>
          <w:rFonts w:asciiTheme="minorHAnsi" w:hAnsiTheme="minorHAnsi"/>
        </w:rPr>
      </w:pPr>
      <w:r w:rsidRPr="00EA2C79">
        <w:rPr>
          <w:rFonts w:asciiTheme="minorHAnsi" w:hAnsiTheme="minorHAnsi"/>
        </w:rPr>
        <w:t>| Micro-operator treatment | Same obligations as largest operators | Reduced fees (Micro ASP, PCAC) | Exemptions from certain conditions | No regulatory barrier to entry |</w:t>
      </w:r>
    </w:p>
    <w:p w14:paraId="626CD6D3" w14:textId="77777777" w:rsidR="00244030" w:rsidRPr="00EA2C79" w:rsidRDefault="00000000">
      <w:pPr>
        <w:rPr>
          <w:rFonts w:asciiTheme="minorHAnsi" w:hAnsiTheme="minorHAnsi"/>
        </w:rPr>
      </w:pPr>
      <w:r w:rsidRPr="00EA2C79">
        <w:rPr>
          <w:rFonts w:asciiTheme="minorHAnsi" w:hAnsiTheme="minorHAnsi"/>
        </w:rPr>
        <w:t xml:space="preserve">Relevance to internet architecture: The licensing regime of a jurisdiction determines who may lawfully operate at each layer of the TCP/IP model - from physical infrastructure (Layers 1-2) to application services (Layer 5). A legal practitioner advising an internet-based business must understand which model applies in the target jurisdiction, as the consequences of operating without authorisation range from administrative fines and equipment confiscation to criminal penalties. The comparative contrast also informs policy analysis: a jurisdiction that treats a </w:t>
      </w:r>
      <w:r w:rsidRPr="00EA2C79">
        <w:rPr>
          <w:rFonts w:asciiTheme="minorHAnsi" w:hAnsiTheme="minorHAnsi"/>
        </w:rPr>
        <w:lastRenderedPageBreak/>
        <w:t>neighbourhood Wi-Fi operator the same as a national telecommunications carrier has made a deliberate regulatory choice, not followed a universal norm.</w:t>
      </w:r>
    </w:p>
    <w:p w14:paraId="047A4987"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2.5.2 UCC Content Regulations, 2019</w:t>
      </w:r>
    </w:p>
    <w:p w14:paraId="6263709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Apply to "all content in telecommunications, data and radio communications and broadcasting and postal communications" (Reg. 1(2)). Key provisions:</w:t>
      </w:r>
    </w:p>
    <w:p w14:paraId="1BE36C0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5: Defines content services broadly, covering internet-based content distribution.</w:t>
      </w:r>
    </w:p>
    <w:p w14:paraId="7EB44F8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7: Operators must retain records for at least 60 days; records must be "complete, authentic and original."</w:t>
      </w:r>
    </w:p>
    <w:p w14:paraId="665D2D4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8: Prohibits offensive language, explicit sexual content, incitement, and material contrary to public morality.</w:t>
      </w:r>
    </w:p>
    <w:p w14:paraId="1F9F51F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38: Prohibits broadcasting material relating to private affairs without compelling public interest.</w:t>
      </w:r>
    </w:p>
    <w:p w14:paraId="3E1841A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45: Offence punishable by fine not exceeding 48 currency points (UGX 960,000) or imprisonment up to 2 years.</w:t>
      </w:r>
    </w:p>
    <w:p w14:paraId="439B841A"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2.5.3 UCC Consumer Protection Regulations, 2019</w:t>
      </w:r>
    </w:p>
    <w:p w14:paraId="4027AA8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Key provisions:</w:t>
      </w:r>
    </w:p>
    <w:p w14:paraId="4CC5785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6: Rights of consumers — access, choice, accurate billing, redress.</w:t>
      </w:r>
    </w:p>
    <w:p w14:paraId="4EA5D0F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10: Prohibited advertising — false, misleading, bait-and-switch.</w:t>
      </w:r>
    </w:p>
    <w:p w14:paraId="4A4F1C4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13: Prohibits denial of access except for non-payment or just cause.</w:t>
      </w:r>
    </w:p>
    <w:p w14:paraId="57FD9E1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16: Protection of consumer information — must be lawfully collected, processed for identified purposes, accurate, protected against improper disclosure.</w:t>
      </w:r>
    </w:p>
    <w:p w14:paraId="37A7F78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18: Operators must protect consumers from spam, scams, unsolicited calls, harmful content; opt-out must be free.</w:t>
      </w:r>
    </w:p>
    <w:p w14:paraId="41D0084E"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Reg. 24-25: Service Level Agreements must be submitted to UCC; bundled services remain operator’s responsibility.</w:t>
      </w:r>
    </w:p>
    <w:p w14:paraId="64DB6164"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2.5.4 The Regulation of Interception of Communications Act (RICA)</w:t>
      </w:r>
    </w:p>
    <w:p w14:paraId="4F3416F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RICA governs lawful interception:</w:t>
      </w:r>
    </w:p>
    <w:p w14:paraId="1C62C3B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Section 2: "Interception" means listening to, recording, monitoring, or acquiring content without knowledge of communicants.</w:t>
      </w:r>
    </w:p>
    <w:p w14:paraId="13FA711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lastRenderedPageBreak/>
        <w:t>• Section 5: No interception without a High Court warrant specifying target, duration, and scope.</w:t>
      </w:r>
    </w:p>
    <w:p w14:paraId="09D02DC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Technical tension: HTTPS encryption means even with a warrant, content may remain inaccessible.</w:t>
      </w:r>
    </w:p>
    <w:p w14:paraId="127929A0"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2.5.5 Cross-Border Data Transfers Under the DPA</w:t>
      </w:r>
    </w:p>
    <w:p w14:paraId="4D3E9C0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DPA §19 requires adequacy in the recipient country or data subject consent. The PDPO has not published a list of "adequate" jurisdictions, creating legal uncertainty.</w:t>
      </w:r>
    </w:p>
    <w:p w14:paraId="75F51F5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Landmark case: Ssekamwa Frank &amp; 3 Ors v. Google LLC (PDPO, July 2025) — Google ordered to register with PDPO; the PDPO affirmed extraterritorial application of the DPA and required documented legal basis for cross-border transfers.</w:t>
      </w:r>
    </w:p>
    <w:p w14:paraId="57BF7803"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2.5.6 The Proposed Single Digital Media Law (2026)</w:t>
      </w:r>
    </w:p>
    <w:p w14:paraId="676BE23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In April 2026, the Government announced a draft law consolidating the Communications Act, Press and Journalists Act, Computer Misuse Act, and DPA. Key provisions: unified licensing for digital platforms; local representation for offshore platforms; mandatory content moderation/takedown (24-48 hrs); metadata retention for ISPs; enhanced cross-border data transfer controls; AI/automated decisioning rules. The bill had not been gazetted as of mid-2026.</w:t>
      </w:r>
    </w:p>
    <w:p w14:paraId="30D2D4CA"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2.5.7 Regional and Continental Frameworks</w:t>
      </w:r>
    </w:p>
    <w:p w14:paraId="233A1DAE"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EAC Framework for Cyberlaws (2009/2010): First regional cyberlaw framework in Africa. Uganda’s ETA, CMA, and Electronic Signatures Act (all 2011) were enacted in direct response. A Cross-Border Data Flows Framework was validated in June 2026 under EARDIP.</w:t>
      </w:r>
    </w:p>
    <w:p w14:paraId="07915CF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Malabo Convention (2014, in force 2023): AU’s binding treaty on data protection, electronic transactions, and cybersecurity. Uganda has NOT signed or ratified. Only Rwanda in East Africa has ratified. Uganda’s DPA already meets its core standards.</w:t>
      </w:r>
    </w:p>
    <w:p w14:paraId="6EA7ADB7"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2.6 Legal Challenges in Internet Regulation</w:t>
      </w:r>
    </w:p>
    <w:p w14:paraId="31C044B6"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2.6.1 OTT Regulation</w:t>
      </w:r>
    </w:p>
    <w:p w14:paraId="3818BE1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Key issues: (1) Content liability — is an OTT provider a "content provider" under UCC Content Regulations? (2) Consumer protection — do Consumer Protection Regulations apply to OTT subscriptions? (3) Data localisation — does the DPA require OTT providers to store Ugandan user data locally?</w:t>
      </w:r>
    </w:p>
    <w:p w14:paraId="2840D571"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2.6.2 Content Moderation</w:t>
      </w:r>
    </w:p>
    <w:p w14:paraId="5A49112A"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 xml:space="preserve">Tension between: (1) operator obligation to remove prohibited content (Content Regs Reg. 8); (2) user right to freedom of expression (Constitution Art. 29); (3) </w:t>
      </w:r>
      <w:r w:rsidRPr="00EA2C79">
        <w:rPr>
          <w:rFonts w:asciiTheme="minorHAnsi" w:hAnsiTheme="minorHAnsi"/>
          <w:szCs w:val="24"/>
        </w:rPr>
        <w:lastRenderedPageBreak/>
        <w:t>absence of statutory safe harbour for user-generated content (unlike US Section 230 or EU Digital Services Act).</w:t>
      </w:r>
    </w:p>
    <w:p w14:paraId="40244C2E" w14:textId="77777777" w:rsidR="00EE53EF" w:rsidRPr="00EA2C79" w:rsidRDefault="00000000" w:rsidP="003B6E3E">
      <w:pPr>
        <w:pStyle w:val="Heading3"/>
        <w:jc w:val="both"/>
        <w:rPr>
          <w:rFonts w:asciiTheme="minorHAnsi" w:hAnsiTheme="minorHAnsi"/>
          <w:sz w:val="24"/>
          <w:szCs w:val="24"/>
        </w:rPr>
      </w:pPr>
      <w:r w:rsidRPr="00EA2C79">
        <w:rPr>
          <w:rFonts w:asciiTheme="minorHAnsi" w:hAnsiTheme="minorHAnsi"/>
          <w:sz w:val="24"/>
          <w:szCs w:val="24"/>
        </w:rPr>
        <w:t>2.6.3 Data Localisation and the Adequacy Gap</w:t>
      </w:r>
    </w:p>
    <w:p w14:paraId="4B8B44F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Challenges: (1) Uganda has limited local cloud infrastructure; (2) local hosting is more expensive; (3) globally distributed services lack local redundancy.</w:t>
      </w:r>
    </w:p>
    <w:p w14:paraId="38E1CA24"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2.7 Weekly Practice Task: Technical Deposition — Internet Layer Tracing</w:t>
      </w:r>
    </w:p>
    <w:p w14:paraId="49149E1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Scenario:</w:t>
      </w:r>
    </w:p>
    <w:p w14:paraId="3700EDF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Your client, a Ugandan e-commerce company, suffered a data breach. Customer payment data was intercepted during transmission. The logs show: (1) browser connected to https://www.shopuganda.com (port 443); (2) DNS resolution via MTN Uganda’s local DNS server; (3) server hosted on AWS EC2 (Cape Town); (4) traffic routed through an unknown IP in Dubai before reaching the Cape Town server.</w:t>
      </w:r>
    </w:p>
    <w:p w14:paraId="39B5AC8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Your Task:</w:t>
      </w:r>
    </w:p>
    <w:p w14:paraId="09A9107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Draft a Technical Deposition Questionnaire (max 10 questions) directed at the IT security officer to isolate: (1) which TCP/IP layer the interception occurred at; (2) whether HTTPS/TLS was properly implemented; (3) whether DNS was compromised; (4) regulatory implications under DPA, UCC Consumer Protection Regs, and RICA.</w:t>
      </w:r>
    </w:p>
    <w:p w14:paraId="35EA438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Sample question: "Can you confirm whether the TLS certificate presented by the server to the customer’s browser was valid, self-signed, or mismatched, and whether the browser generated a certificate warning?"</w:t>
      </w:r>
    </w:p>
    <w:p w14:paraId="772D941E" w14:textId="77777777" w:rsidR="00EE53EF" w:rsidRPr="00EA2C79" w:rsidRDefault="00EE53EF" w:rsidP="003B6E3E">
      <w:pPr>
        <w:jc w:val="both"/>
        <w:rPr>
          <w:rFonts w:asciiTheme="minorHAnsi" w:hAnsiTheme="minorHAnsi"/>
          <w:szCs w:val="24"/>
        </w:rPr>
      </w:pPr>
    </w:p>
    <w:p w14:paraId="2A982954"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Chapter Summary</w:t>
      </w:r>
    </w:p>
    <w:tbl>
      <w:tblPr>
        <w:tblStyle w:val="TableGrid"/>
        <w:tblW w:w="0" w:type="auto"/>
        <w:tblLook w:val="04A0" w:firstRow="1" w:lastRow="0" w:firstColumn="1" w:lastColumn="0" w:noHBand="0" w:noVBand="1"/>
      </w:tblPr>
      <w:tblGrid>
        <w:gridCol w:w="4320"/>
        <w:gridCol w:w="4320"/>
      </w:tblGrid>
      <w:tr w:rsidR="00EE53EF" w:rsidRPr="00EA2C79" w14:paraId="25BB7F40" w14:textId="77777777">
        <w:tc>
          <w:tcPr>
            <w:tcW w:w="4320" w:type="dxa"/>
          </w:tcPr>
          <w:p w14:paraId="2A763AAF"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Concept</w:t>
            </w:r>
          </w:p>
        </w:tc>
        <w:tc>
          <w:tcPr>
            <w:tcW w:w="4320" w:type="dxa"/>
          </w:tcPr>
          <w:p w14:paraId="14B603C6" w14:textId="77777777" w:rsidR="00EE53EF" w:rsidRPr="00EA2C79" w:rsidRDefault="00000000" w:rsidP="003B6E3E">
            <w:pPr>
              <w:jc w:val="both"/>
              <w:rPr>
                <w:rFonts w:asciiTheme="minorHAnsi" w:hAnsiTheme="minorHAnsi"/>
                <w:szCs w:val="24"/>
              </w:rPr>
            </w:pPr>
            <w:r w:rsidRPr="00EA2C79">
              <w:rPr>
                <w:rFonts w:asciiTheme="minorHAnsi" w:hAnsiTheme="minorHAnsi"/>
                <w:b/>
                <w:szCs w:val="24"/>
              </w:rPr>
              <w:t>Key Takeaway for Legal Practice</w:t>
            </w:r>
          </w:p>
        </w:tc>
      </w:tr>
      <w:tr w:rsidR="00EE53EF" w:rsidRPr="00EA2C79" w14:paraId="043CC390" w14:textId="77777777">
        <w:tc>
          <w:tcPr>
            <w:tcW w:w="4320" w:type="dxa"/>
          </w:tcPr>
          <w:p w14:paraId="250D763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5-Layer TCP/IP Model</w:t>
            </w:r>
          </w:p>
        </w:tc>
        <w:tc>
          <w:tcPr>
            <w:tcW w:w="4320" w:type="dxa"/>
          </w:tcPr>
          <w:p w14:paraId="107C1BA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Data interception occurs at a specific layer; each layer reveals different jurisdictional information</w:t>
            </w:r>
          </w:p>
        </w:tc>
      </w:tr>
      <w:tr w:rsidR="00EE53EF" w:rsidRPr="00EA2C79" w14:paraId="4AEEAAA1" w14:textId="77777777">
        <w:tc>
          <w:tcPr>
            <w:tcW w:w="4320" w:type="dxa"/>
          </w:tcPr>
          <w:p w14:paraId="2A27172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DNS Resolution</w:t>
            </w:r>
          </w:p>
        </w:tc>
        <w:tc>
          <w:tcPr>
            <w:tcW w:w="4320" w:type="dxa"/>
          </w:tcPr>
          <w:p w14:paraId="38AFCA3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Chain of queries establishes jurisdiction over domain registration and identifies spoofing</w:t>
            </w:r>
          </w:p>
        </w:tc>
      </w:tr>
      <w:tr w:rsidR="00EE53EF" w:rsidRPr="00EA2C79" w14:paraId="7CBD258D" w14:textId="77777777">
        <w:tc>
          <w:tcPr>
            <w:tcW w:w="4320" w:type="dxa"/>
          </w:tcPr>
          <w:p w14:paraId="4114B0DD"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HTTP vs. HTTPS</w:t>
            </w:r>
          </w:p>
        </w:tc>
        <w:tc>
          <w:tcPr>
            <w:tcW w:w="4320" w:type="dxa"/>
          </w:tcPr>
          <w:p w14:paraId="51D1E7F9"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Encrypted vs. plaintext determines what data is accessible under a RICA warrant</w:t>
            </w:r>
          </w:p>
        </w:tc>
      </w:tr>
      <w:tr w:rsidR="00EE53EF" w:rsidRPr="00EA2C79" w14:paraId="67D8E207" w14:textId="77777777">
        <w:tc>
          <w:tcPr>
            <w:tcW w:w="4320" w:type="dxa"/>
          </w:tcPr>
          <w:p w14:paraId="7F569A3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Web Apps and Cloud</w:t>
            </w:r>
          </w:p>
        </w:tc>
        <w:tc>
          <w:tcPr>
            <w:tcW w:w="4320" w:type="dxa"/>
          </w:tcPr>
          <w:p w14:paraId="386723E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Cloud jurisdiction depends on server location and DPA §19 adequacy</w:t>
            </w:r>
          </w:p>
        </w:tc>
      </w:tr>
      <w:tr w:rsidR="00EE53EF" w:rsidRPr="00EA2C79" w14:paraId="7A97E5C1" w14:textId="77777777">
        <w:tc>
          <w:tcPr>
            <w:tcW w:w="4320" w:type="dxa"/>
          </w:tcPr>
          <w:p w14:paraId="06641E95" w14:textId="77777777" w:rsidR="00EE53EF" w:rsidRPr="00EA2C79" w:rsidRDefault="00000000" w:rsidP="003B6E3E">
            <w:pPr>
              <w:jc w:val="both"/>
              <w:rPr>
                <w:rFonts w:asciiTheme="minorHAnsi" w:hAnsiTheme="minorHAnsi"/>
                <w:szCs w:val="24"/>
              </w:rPr>
            </w:pPr>
            <w:r w:rsidRPr="00EA2C79">
              <w:rPr>
                <w:rFonts w:asciiTheme="minorHAnsi" w:hAnsiTheme="minorHAnsi"/>
              </w:rPr>
              <w:t>UCC Licensing Regulations</w:t>
            </w:r>
          </w:p>
        </w:tc>
        <w:tc>
          <w:tcPr>
            <w:tcW w:w="4320" w:type="dxa"/>
          </w:tcPr>
          <w:p w14:paraId="49F5ED28" w14:textId="77777777" w:rsidR="00EE53EF" w:rsidRPr="00EA2C79" w:rsidRDefault="00000000" w:rsidP="003B6E3E">
            <w:pPr>
              <w:jc w:val="both"/>
              <w:rPr>
                <w:rFonts w:asciiTheme="minorHAnsi" w:hAnsiTheme="minorHAnsi"/>
                <w:szCs w:val="24"/>
              </w:rPr>
            </w:pPr>
            <w:r w:rsidRPr="00EA2C79">
              <w:rPr>
                <w:rFonts w:asciiTheme="minorHAnsi" w:hAnsiTheme="minorHAnsi"/>
              </w:rPr>
              <w:t xml:space="preserve">Foundational framework - determines </w:t>
            </w:r>
            <w:r w:rsidRPr="00EA2C79">
              <w:rPr>
                <w:rFonts w:asciiTheme="minorHAnsi" w:hAnsiTheme="minorHAnsi"/>
              </w:rPr>
              <w:lastRenderedPageBreak/>
              <w:t>who may operate (licence categories for telecoms, broadcasting, radio, postal, VAS); sets fees, conditions, enforcement (fines up to 10% of annual turnover, suspension, revocation)</w:t>
            </w:r>
          </w:p>
        </w:tc>
      </w:tr>
      <w:tr w:rsidR="00EE53EF" w:rsidRPr="00EA2C79" w14:paraId="55D27AE6" w14:textId="77777777">
        <w:tc>
          <w:tcPr>
            <w:tcW w:w="4320" w:type="dxa"/>
          </w:tcPr>
          <w:p w14:paraId="30560F3B" w14:textId="77777777" w:rsidR="00EE53EF" w:rsidRPr="00EA2C79" w:rsidRDefault="00000000" w:rsidP="003B6E3E">
            <w:pPr>
              <w:jc w:val="both"/>
              <w:rPr>
                <w:rFonts w:asciiTheme="minorHAnsi" w:hAnsiTheme="minorHAnsi"/>
                <w:szCs w:val="24"/>
              </w:rPr>
            </w:pPr>
            <w:r w:rsidRPr="00EA2C79">
              <w:rPr>
                <w:rFonts w:asciiTheme="minorHAnsi" w:hAnsiTheme="minorHAnsi"/>
              </w:rPr>
              <w:lastRenderedPageBreak/>
              <w:t>Comparative Licensing Regimes</w:t>
            </w:r>
          </w:p>
        </w:tc>
        <w:tc>
          <w:tcPr>
            <w:tcW w:w="4320" w:type="dxa"/>
          </w:tcPr>
          <w:p w14:paraId="7093167C" w14:textId="77777777" w:rsidR="00EE53EF" w:rsidRPr="00EA2C79" w:rsidRDefault="00000000" w:rsidP="003B6E3E">
            <w:pPr>
              <w:jc w:val="both"/>
              <w:rPr>
                <w:rFonts w:asciiTheme="minorHAnsi" w:hAnsiTheme="minorHAnsi"/>
                <w:szCs w:val="24"/>
              </w:rPr>
            </w:pPr>
            <w:r w:rsidRPr="00EA2C79">
              <w:rPr>
                <w:rFonts w:asciiTheme="minorHAnsi" w:hAnsiTheme="minorHAnsi"/>
              </w:rPr>
              <w:t>Uganda (person-based), Kenya (tiered ULF), UK/EU (General Authorisation), and US (equipment-based) represent four distinct regulatory philosophies; the choice of model determines who may lawfully operate at each TCP/IP layer</w:t>
            </w:r>
          </w:p>
        </w:tc>
      </w:tr>
      <w:tr w:rsidR="00EE53EF" w:rsidRPr="00EA2C79" w14:paraId="10BF1DBC" w14:textId="77777777">
        <w:tc>
          <w:tcPr>
            <w:tcW w:w="4320" w:type="dxa"/>
          </w:tcPr>
          <w:p w14:paraId="06C19A1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DPA §19</w:t>
            </w:r>
          </w:p>
        </w:tc>
        <w:tc>
          <w:tcPr>
            <w:tcW w:w="4320" w:type="dxa"/>
          </w:tcPr>
          <w:p w14:paraId="4C41BB6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Cross-border transfers require adequacy or consent</w:t>
            </w:r>
          </w:p>
        </w:tc>
      </w:tr>
      <w:tr w:rsidR="00EE53EF" w:rsidRPr="00EA2C79" w14:paraId="74BBFD1B" w14:textId="77777777">
        <w:tc>
          <w:tcPr>
            <w:tcW w:w="4320" w:type="dxa"/>
          </w:tcPr>
          <w:p w14:paraId="0EE47B6F"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Single Digital Media Law 2026</w:t>
            </w:r>
          </w:p>
        </w:tc>
        <w:tc>
          <w:tcPr>
            <w:tcW w:w="4320" w:type="dxa"/>
          </w:tcPr>
          <w:p w14:paraId="6E60056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Proposed consolidated framework: licensing, moderation, metadata retention</w:t>
            </w:r>
          </w:p>
        </w:tc>
      </w:tr>
      <w:tr w:rsidR="00EE53EF" w:rsidRPr="00EA2C79" w14:paraId="285D23BE" w14:textId="77777777">
        <w:tc>
          <w:tcPr>
            <w:tcW w:w="4320" w:type="dxa"/>
          </w:tcPr>
          <w:p w14:paraId="6AE9FA1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EAC Cyberlaw Framework</w:t>
            </w:r>
          </w:p>
        </w:tc>
        <w:tc>
          <w:tcPr>
            <w:tcW w:w="4320" w:type="dxa"/>
          </w:tcPr>
          <w:p w14:paraId="2D2CBD0B"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Uganda's ETA/CMA/DPA derive from EAC harmonisation</w:t>
            </w:r>
          </w:p>
        </w:tc>
      </w:tr>
      <w:tr w:rsidR="00EE53EF" w:rsidRPr="00EA2C79" w14:paraId="3802E9FE" w14:textId="77777777">
        <w:tc>
          <w:tcPr>
            <w:tcW w:w="4320" w:type="dxa"/>
          </w:tcPr>
          <w:p w14:paraId="1830F436"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Malabo Convention</w:t>
            </w:r>
          </w:p>
        </w:tc>
        <w:tc>
          <w:tcPr>
            <w:tcW w:w="4320" w:type="dxa"/>
          </w:tcPr>
          <w:p w14:paraId="29157A5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Continental benchmark; Uganda not ratified but DPA meets core standards</w:t>
            </w:r>
          </w:p>
        </w:tc>
      </w:tr>
    </w:tbl>
    <w:p w14:paraId="62D78A51" w14:textId="77777777" w:rsidR="00EE53EF" w:rsidRPr="00EA2C79" w:rsidRDefault="00EE53EF" w:rsidP="003B6E3E">
      <w:pPr>
        <w:jc w:val="both"/>
        <w:rPr>
          <w:rFonts w:asciiTheme="minorHAnsi" w:hAnsiTheme="minorHAnsi"/>
          <w:szCs w:val="24"/>
        </w:rPr>
      </w:pPr>
    </w:p>
    <w:p w14:paraId="01E2257D"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References</w:t>
      </w:r>
    </w:p>
    <w:p w14:paraId="5BC4DAA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Kurose and Ross, Computer Networking: A Top-Down Approach (8th ed., Pearson, 2021), Sections 1.5, 2.2, 2.4.</w:t>
      </w:r>
    </w:p>
    <w:p w14:paraId="2A04A23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Uganda Communications (Content) Regulations, 2019 (S.I. 2019 No. 91).</w:t>
      </w:r>
    </w:p>
    <w:p w14:paraId="0ECF0FC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Uganda Communications (Consumer Protection) Regulations, 2019 (S.I. 2019 No. 87).</w:t>
      </w:r>
    </w:p>
    <w:p w14:paraId="389C7D2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Data Protection and Privacy Act, No. 9 of 2019 (Uganda), Section 19.</w:t>
      </w:r>
    </w:p>
    <w:p w14:paraId="667984A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The Regulation of Interception of Communications Act, No. 19 of 2010 (Uganda), Sections 2 and 5.</w:t>
      </w:r>
    </w:p>
    <w:p w14:paraId="5EE1D0F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Ssekamwa Frank &amp; 3 Ors v. Google LLC, PDPO Complaint No. 08/11/24/6683 (18 July 2025).</w:t>
      </w:r>
    </w:p>
    <w:p w14:paraId="181A10E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Isaac Ssejjombwe, "Govt drafts single law to govern media, digital space," Daily Monitor, 27 April 2026.</w:t>
      </w:r>
    </w:p>
    <w:p w14:paraId="3B068BB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UNCTAD, "Harmonizing Cyberlaws and Regulations: The Experience of the East African Community" (2012).</w:t>
      </w:r>
    </w:p>
    <w:p w14:paraId="0529B3C3"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lastRenderedPageBreak/>
        <w:t>African Union Convention on Cyber Security and Personal Data Protection (Malabo Convention, 2014, in force 2023).</w:t>
      </w:r>
    </w:p>
    <w:p w14:paraId="2BE1E4A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Chambers and Partners, TMT 2026 — Uganda (Global Practice Guides, February 2026).</w:t>
      </w:r>
    </w:p>
    <w:p w14:paraId="140CD573" w14:textId="77777777" w:rsidR="00EE53EF" w:rsidRPr="00EA2C79" w:rsidRDefault="00000000" w:rsidP="003B6E3E">
      <w:pPr>
        <w:pStyle w:val="Heading2"/>
        <w:jc w:val="both"/>
        <w:rPr>
          <w:rFonts w:asciiTheme="minorHAnsi" w:hAnsiTheme="minorHAnsi"/>
          <w:sz w:val="24"/>
          <w:szCs w:val="24"/>
        </w:rPr>
      </w:pPr>
      <w:r w:rsidRPr="00EA2C79">
        <w:rPr>
          <w:rFonts w:asciiTheme="minorHAnsi" w:hAnsiTheme="minorHAnsi"/>
          <w:sz w:val="24"/>
          <w:szCs w:val="24"/>
        </w:rPr>
        <w:t>Further Reading</w:t>
      </w:r>
    </w:p>
    <w:p w14:paraId="4B6551E7"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Kurose and Ross, Computer Networking: A Top-Down Approach (8th ed.) — Sections 1.5, 2.2, 2.4.</w:t>
      </w:r>
    </w:p>
    <w:p w14:paraId="0903DC72"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UCC Content Regulations, 2019 (S.I. 2019 No. 91).</w:t>
      </w:r>
    </w:p>
    <w:p w14:paraId="742CA68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UCC Consumer Protection Regulations, 2019 (S.I. 2019 No. 87).</w:t>
      </w:r>
    </w:p>
    <w:p w14:paraId="6FFC7954"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Data Protection and Privacy Act, No. 9 of 2019 (Uganda), Section 19.</w:t>
      </w:r>
    </w:p>
    <w:p w14:paraId="43C77D0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Regulation of Interception of Communications Act, No. 19 of 2010 (Uganda).</w:t>
      </w:r>
    </w:p>
    <w:p w14:paraId="57147CF0"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RFC 1034/1035 (DNS), RFC 7230-7235 (HTTP/1.1), RFC 8446 (TLS 1.3).</w:t>
      </w:r>
    </w:p>
    <w:p w14:paraId="4809E5A5"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UNCTAD, "Harmonizing Cyberlaws and Regulations: The Experience of the EAC" (2012).</w:t>
      </w:r>
    </w:p>
    <w:p w14:paraId="3EBBB858"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Malabo Convention (AU, 2014) — Articles 8-22 on data protection.</w:t>
      </w:r>
    </w:p>
    <w:p w14:paraId="429BD3CC" w14:textId="77777777" w:rsidR="00EE53EF" w:rsidRPr="00EA2C79" w:rsidRDefault="00000000" w:rsidP="003B6E3E">
      <w:pPr>
        <w:jc w:val="both"/>
        <w:rPr>
          <w:rFonts w:asciiTheme="minorHAnsi" w:hAnsiTheme="minorHAnsi"/>
          <w:szCs w:val="24"/>
        </w:rPr>
      </w:pPr>
      <w:r w:rsidRPr="00EA2C79">
        <w:rPr>
          <w:rFonts w:asciiTheme="minorHAnsi" w:hAnsiTheme="minorHAnsi"/>
          <w:szCs w:val="24"/>
        </w:rPr>
        <w:t>DLA Piper Africa, "Uganda Data Protection Regulator Clarifies Compliance Requirements" (July 2025).</w:t>
      </w:r>
    </w:p>
    <w:p w14:paraId="6F190C0D" w14:textId="77777777" w:rsidR="00244030" w:rsidRPr="00EA2C79" w:rsidRDefault="00000000">
      <w:pPr>
        <w:rPr>
          <w:rFonts w:asciiTheme="minorHAnsi" w:hAnsiTheme="minorHAnsi"/>
        </w:rPr>
      </w:pPr>
      <w:r w:rsidRPr="00EA2C79">
        <w:rPr>
          <w:rFonts w:asciiTheme="minorHAnsi" w:hAnsiTheme="minorHAnsi"/>
        </w:rPr>
        <w:t>Kenya Information and Communications Act, 1998 (Cap. 411A), and the Kenya Communications Regulations, 2020 (Unified Licensing Framework) -- Kenya's tiered licensing model.</w:t>
      </w:r>
    </w:p>
    <w:p w14:paraId="2EF051D9" w14:textId="77777777" w:rsidR="00244030" w:rsidRPr="00EA2C79" w:rsidRDefault="00000000">
      <w:pPr>
        <w:rPr>
          <w:rFonts w:asciiTheme="minorHAnsi" w:hAnsiTheme="minorHAnsi"/>
        </w:rPr>
      </w:pPr>
      <w:r w:rsidRPr="00EA2C79">
        <w:rPr>
          <w:rFonts w:asciiTheme="minorHAnsi" w:hAnsiTheme="minorHAnsi"/>
        </w:rPr>
        <w:t>Directive 2018/1972 of the European Parliament and of the Council (European Electronic Communications Code), Articles 12-15 (General Authorisation regime).</w:t>
      </w:r>
    </w:p>
    <w:p w14:paraId="5480C6E0" w14:textId="77777777" w:rsidR="00244030" w:rsidRPr="00EA2C79" w:rsidRDefault="00000000">
      <w:pPr>
        <w:rPr>
          <w:rFonts w:asciiTheme="minorHAnsi" w:hAnsiTheme="minorHAnsi"/>
        </w:rPr>
      </w:pPr>
      <w:r w:rsidRPr="00EA2C79">
        <w:rPr>
          <w:rFonts w:asciiTheme="minorHAnsi" w:hAnsiTheme="minorHAnsi"/>
        </w:rPr>
        <w:t>Communications Act of 1934 (United States), as amended by the Telecommunications Act of 1996, Title I (no ISP licensing requirement); 47 CFR Part 15 (equipment authorisation for unlicensed devices).</w:t>
      </w:r>
    </w:p>
    <w:sectPr w:rsidR="00244030" w:rsidRPr="00EA2C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937298">
    <w:abstractNumId w:val="8"/>
  </w:num>
  <w:num w:numId="2" w16cid:durableId="1545755609">
    <w:abstractNumId w:val="6"/>
  </w:num>
  <w:num w:numId="3" w16cid:durableId="1658612571">
    <w:abstractNumId w:val="5"/>
  </w:num>
  <w:num w:numId="4" w16cid:durableId="220949938">
    <w:abstractNumId w:val="4"/>
  </w:num>
  <w:num w:numId="5" w16cid:durableId="1139153479">
    <w:abstractNumId w:val="7"/>
  </w:num>
  <w:num w:numId="6" w16cid:durableId="1124614416">
    <w:abstractNumId w:val="3"/>
  </w:num>
  <w:num w:numId="7" w16cid:durableId="355694588">
    <w:abstractNumId w:val="2"/>
  </w:num>
  <w:num w:numId="8" w16cid:durableId="890924549">
    <w:abstractNumId w:val="1"/>
  </w:num>
  <w:num w:numId="9" w16cid:durableId="165086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47"/>
    <w:rsid w:val="000B0374"/>
    <w:rsid w:val="0015074B"/>
    <w:rsid w:val="00244030"/>
    <w:rsid w:val="0029639D"/>
    <w:rsid w:val="00326F90"/>
    <w:rsid w:val="003B6E3E"/>
    <w:rsid w:val="003E1D65"/>
    <w:rsid w:val="0054576C"/>
    <w:rsid w:val="00AA1D8D"/>
    <w:rsid w:val="00B47730"/>
    <w:rsid w:val="00CB0664"/>
    <w:rsid w:val="00EA2C79"/>
    <w:rsid w:val="00EE53EF"/>
    <w:rsid w:val="00F13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CCB72"/>
  <w14:defaultImageDpi w14:val="300"/>
  <w15:docId w15:val="{B5DA2846-AE68-436A-AE75-08F0504EC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ookman Old Style" w:hAnsi="Bookman Old Styl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14</Pages>
  <Words>3949</Words>
  <Characters>22511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Intern Strategy</cp:lastModifiedBy>
  <cp:revision>2</cp:revision>
  <dcterms:created xsi:type="dcterms:W3CDTF">2013-12-23T23:15:00Z</dcterms:created>
  <dcterms:modified xsi:type="dcterms:W3CDTF">2026-07-12T18:23:00Z</dcterms:modified>
  <cp:category/>
</cp:coreProperties>
</file>